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91841C" w14:textId="77777777" w:rsidR="00860042" w:rsidRPr="00860042" w:rsidRDefault="00860042" w:rsidP="00860042">
      <w:pPr>
        <w:spacing w:line="360" w:lineRule="auto"/>
        <w:ind w:firstLineChars="200" w:firstLine="420"/>
        <w:rPr>
          <w:rFonts w:asciiTheme="minorEastAsia" w:hAnsiTheme="minorEastAsia"/>
          <w:bCs/>
        </w:rPr>
      </w:pPr>
      <w:r w:rsidRPr="00113C9B">
        <w:rPr>
          <w:rFonts w:asciiTheme="minorEastAsia" w:hAnsiTheme="minorEastAsia"/>
          <w:bCs/>
        </w:rPr>
        <w:t>John Wiley &amp; Sons Inc. 约翰威立国际出版公司 1807 年创建于美国，</w:t>
      </w:r>
      <w:r w:rsidRPr="00113C9B">
        <w:rPr>
          <w:rFonts w:asciiTheme="minorEastAsia" w:hAnsiTheme="minorEastAsia" w:cs="Arial"/>
          <w:szCs w:val="21"/>
          <w:shd w:val="clear" w:color="auto" w:fill="FFFFFF"/>
        </w:rPr>
        <w:t>是全球历史最悠久﹑最知名的学术出版商之一，享有世界第一大独立的学协会出版商和第三大学术期刊出版商的地位。</w:t>
      </w:r>
      <w:r w:rsidRPr="00113C9B">
        <w:rPr>
          <w:rFonts w:asciiTheme="minorEastAsia" w:hAnsiTheme="minorEastAsia"/>
          <w:bCs/>
        </w:rPr>
        <w:t>Wiley出版平台上超过80%的期刊、图书等专业文献来自于全球各领域顶尖的学协会，这些学协会的数量已经超过600家。Wiley提供面向专业人士、科研人员、教育工作者、学生、终身学习者提供必需的知识和服务。 Wiley及旗下的子品牌出版了超过500位诺贝尔文学、经济、生物、医学、物理、化学、和平奖得主的作品。</w:t>
      </w:r>
    </w:p>
    <w:p w14:paraId="2F033489" w14:textId="0EE3143F" w:rsidR="00860042" w:rsidRPr="00113C9B" w:rsidRDefault="00860042" w:rsidP="00860042">
      <w:pPr>
        <w:spacing w:line="360" w:lineRule="auto"/>
        <w:ind w:firstLineChars="200" w:firstLine="420"/>
        <w:rPr>
          <w:rFonts w:asciiTheme="minorEastAsia" w:hAnsiTheme="minorEastAsia"/>
          <w:bCs/>
        </w:rPr>
      </w:pPr>
      <w:r w:rsidRPr="00113C9B">
        <w:rPr>
          <w:rFonts w:asciiTheme="minorEastAsia" w:hAnsiTheme="minorEastAsia"/>
          <w:bCs/>
        </w:rPr>
        <w:t>Wiley出版</w:t>
      </w:r>
      <w:r w:rsidR="00504D93">
        <w:rPr>
          <w:rFonts w:asciiTheme="minorEastAsia" w:hAnsiTheme="minorEastAsia" w:hint="eastAsia"/>
          <w:bCs/>
        </w:rPr>
        <w:t>超过</w:t>
      </w:r>
      <w:r w:rsidRPr="00113C9B">
        <w:rPr>
          <w:rFonts w:asciiTheme="minorEastAsia" w:hAnsiTheme="minorEastAsia"/>
          <w:bCs/>
        </w:rPr>
        <w:t>1700种期刊</w:t>
      </w:r>
      <w:r>
        <w:rPr>
          <w:rFonts w:asciiTheme="minorEastAsia" w:hAnsiTheme="minorEastAsia" w:hint="eastAsia"/>
          <w:bCs/>
        </w:rPr>
        <w:t>，</w:t>
      </w:r>
      <w:r w:rsidRPr="00113C9B">
        <w:rPr>
          <w:rFonts w:asciiTheme="minorEastAsia" w:hAnsiTheme="minorEastAsia"/>
          <w:bCs/>
        </w:rPr>
        <w:t>涵盖学科范围包括化学、物理、工程、农业、兽医学、食品科学、医学、护理、口腔、生命科学、心理、商业、经济、社会科学、艺术、人文等，以及其它很多重要的跨学科领域。</w:t>
      </w:r>
    </w:p>
    <w:p w14:paraId="66C9E665" w14:textId="2E282BC0" w:rsidR="00860042" w:rsidRDefault="00860042" w:rsidP="00860042">
      <w:pPr>
        <w:spacing w:line="360" w:lineRule="auto"/>
        <w:ind w:firstLineChars="200" w:firstLine="420"/>
        <w:rPr>
          <w:rFonts w:asciiTheme="minorEastAsia" w:hAnsiTheme="minorEastAsia"/>
          <w:bCs/>
        </w:rPr>
      </w:pPr>
      <w:r w:rsidRPr="00113C9B">
        <w:rPr>
          <w:rFonts w:asciiTheme="minorEastAsia" w:hAnsiTheme="minorEastAsia"/>
          <w:bCs/>
        </w:rPr>
        <w:t>在</w:t>
      </w:r>
      <w:r>
        <w:rPr>
          <w:rFonts w:asciiTheme="minorEastAsia" w:hAnsiTheme="minorEastAsia" w:hint="eastAsia"/>
          <w:bCs/>
        </w:rPr>
        <w:t>最新的</w:t>
      </w:r>
      <w:r w:rsidRPr="00113C9B">
        <w:rPr>
          <w:rFonts w:asciiTheme="minorEastAsia" w:hAnsiTheme="minorEastAsia"/>
          <w:bCs/>
        </w:rPr>
        <w:t>《期刊引证报告》（JCR）中，</w:t>
      </w:r>
      <w:r w:rsidRPr="00860042">
        <w:rPr>
          <w:rFonts w:asciiTheme="minorEastAsia" w:hAnsiTheme="minorEastAsia" w:hint="eastAsia"/>
          <w:bCs/>
        </w:rPr>
        <w:t>Wiley共计1</w:t>
      </w:r>
      <w:r w:rsidR="00C8781F">
        <w:rPr>
          <w:rFonts w:asciiTheme="minorEastAsia" w:hAnsiTheme="minorEastAsia" w:hint="eastAsia"/>
          <w:bCs/>
        </w:rPr>
        <w:t>559</w:t>
      </w:r>
      <w:r w:rsidRPr="00860042">
        <w:rPr>
          <w:rFonts w:asciiTheme="minorEastAsia" w:hAnsiTheme="minorEastAsia" w:hint="eastAsia"/>
          <w:bCs/>
        </w:rPr>
        <w:t>种期刊被JCR收录，占比超过88%，在JCR全部236个学科类别中，219个收录了Wiley期刊。</w:t>
      </w:r>
      <w:r w:rsidR="00FB3DF9">
        <w:rPr>
          <w:rFonts w:asciiTheme="minorEastAsia" w:hAnsiTheme="minorEastAsia" w:hint="eastAsia"/>
          <w:bCs/>
        </w:rPr>
        <w:t>17</w:t>
      </w:r>
      <w:r w:rsidRPr="00860042">
        <w:rPr>
          <w:rFonts w:asciiTheme="minorEastAsia" w:hAnsiTheme="minorEastAsia" w:hint="eastAsia"/>
          <w:bCs/>
        </w:rPr>
        <w:t>种期刊影响因子在</w:t>
      </w:r>
      <w:r w:rsidR="00ED6A68">
        <w:rPr>
          <w:rFonts w:asciiTheme="minorEastAsia" w:hAnsiTheme="minorEastAsia" w:hint="eastAsia"/>
          <w:bCs/>
        </w:rPr>
        <w:t>34</w:t>
      </w:r>
      <w:r w:rsidRPr="00860042">
        <w:rPr>
          <w:rFonts w:asciiTheme="minorEastAsia" w:hAnsiTheme="minorEastAsia" w:hint="eastAsia"/>
          <w:bCs/>
        </w:rPr>
        <w:t>种学科中排名第一，1</w:t>
      </w:r>
      <w:r w:rsidR="00D373AB">
        <w:rPr>
          <w:rFonts w:asciiTheme="minorEastAsia" w:hAnsiTheme="minorEastAsia" w:hint="eastAsia"/>
          <w:bCs/>
        </w:rPr>
        <w:t>82</w:t>
      </w:r>
      <w:r w:rsidRPr="00860042">
        <w:rPr>
          <w:rFonts w:asciiTheme="minorEastAsia" w:hAnsiTheme="minorEastAsia" w:hint="eastAsia"/>
          <w:bCs/>
        </w:rPr>
        <w:t>种期刊影响因子在其所属的学科中排名前十</w:t>
      </w:r>
      <w:r>
        <w:rPr>
          <w:rFonts w:asciiTheme="minorEastAsia" w:hAnsiTheme="minorEastAsia" w:hint="eastAsia"/>
          <w:bCs/>
        </w:rPr>
        <w:t>。</w:t>
      </w:r>
    </w:p>
    <w:p w14:paraId="79A56DF6" w14:textId="3C18F7EE" w:rsidR="00860042" w:rsidRDefault="007D3A25" w:rsidP="00860042">
      <w:pPr>
        <w:spacing w:line="360" w:lineRule="auto"/>
        <w:ind w:firstLineChars="200" w:firstLine="420"/>
        <w:rPr>
          <w:rFonts w:asciiTheme="minorEastAsia" w:hAnsiTheme="minorEastAsia"/>
          <w:bCs/>
        </w:rPr>
      </w:pPr>
      <w:r>
        <w:rPr>
          <w:rFonts w:asciiTheme="minorEastAsia" w:hAnsiTheme="minorEastAsia" w:hint="eastAsia"/>
          <w:bCs/>
        </w:rPr>
        <w:t>东北</w:t>
      </w:r>
      <w:r w:rsidR="00860042">
        <w:rPr>
          <w:rFonts w:asciiTheme="minorEastAsia" w:hAnsiTheme="minorEastAsia" w:hint="eastAsia"/>
          <w:bCs/>
        </w:rPr>
        <w:t>大学图书馆</w:t>
      </w:r>
      <w:r w:rsidR="00427B72">
        <w:rPr>
          <w:rFonts w:asciiTheme="minorEastAsia" w:hAnsiTheme="minorEastAsia" w:hint="eastAsia"/>
          <w:bCs/>
        </w:rPr>
        <w:t>已</w:t>
      </w:r>
      <w:r w:rsidR="00860042">
        <w:rPr>
          <w:rFonts w:asciiTheme="minorEastAsia" w:hAnsiTheme="minorEastAsia" w:hint="eastAsia"/>
          <w:bCs/>
        </w:rPr>
        <w:t>订购Wiley出版社的</w:t>
      </w:r>
      <w:r w:rsidR="00860042" w:rsidRPr="00860042">
        <w:rPr>
          <w:rFonts w:asciiTheme="minorEastAsia" w:hAnsiTheme="minorEastAsia" w:hint="eastAsia"/>
          <w:bCs/>
        </w:rPr>
        <w:t>除AGU期刊以外的Wiley全部电子期刊</w:t>
      </w:r>
      <w:r w:rsidR="00427B72">
        <w:rPr>
          <w:rFonts w:asciiTheme="minorEastAsia" w:hAnsiTheme="minorEastAsia" w:hint="eastAsia"/>
          <w:bCs/>
        </w:rPr>
        <w:t>，数量</w:t>
      </w:r>
      <w:r w:rsidR="00860042" w:rsidRPr="00860042">
        <w:rPr>
          <w:rFonts w:asciiTheme="minorEastAsia" w:hAnsiTheme="minorEastAsia" w:hint="eastAsia"/>
          <w:bCs/>
        </w:rPr>
        <w:t>超过13</w:t>
      </w:r>
      <w:r w:rsidR="002F1547">
        <w:rPr>
          <w:rFonts w:asciiTheme="minorEastAsia" w:hAnsiTheme="minorEastAsia" w:hint="eastAsia"/>
          <w:bCs/>
        </w:rPr>
        <w:t>21</w:t>
      </w:r>
      <w:r w:rsidR="00860042" w:rsidRPr="00860042">
        <w:rPr>
          <w:rFonts w:asciiTheme="minorEastAsia" w:hAnsiTheme="minorEastAsia" w:hint="eastAsia"/>
          <w:bCs/>
        </w:rPr>
        <w:t>种，涉及化学</w:t>
      </w:r>
      <w:r w:rsidR="00427B72">
        <w:rPr>
          <w:rFonts w:asciiTheme="minorEastAsia" w:hAnsiTheme="minorEastAsia" w:hint="eastAsia"/>
          <w:bCs/>
        </w:rPr>
        <w:t>、</w:t>
      </w:r>
      <w:r w:rsidR="00860042" w:rsidRPr="00860042">
        <w:rPr>
          <w:rFonts w:asciiTheme="minorEastAsia" w:hAnsiTheme="minorEastAsia" w:hint="eastAsia"/>
          <w:bCs/>
        </w:rPr>
        <w:t>地球及环境科学、信息及计算机、生命科学、农学园艺学、数学与统计、物理学与天文学、高分子与材料科学、商业、经济、金融、教育、人文科学、法律及犯罪、心理学、社会学等。同时拥有全部订购期刊的永久访问权。</w:t>
      </w:r>
    </w:p>
    <w:p w14:paraId="56C648A5" w14:textId="77777777" w:rsidR="00790EC1" w:rsidRPr="00D6334B" w:rsidRDefault="00790EC1" w:rsidP="00790EC1">
      <w:pPr>
        <w:spacing w:line="360" w:lineRule="auto"/>
        <w:rPr>
          <w:rFonts w:ascii="Open Sans" w:hAnsi="Open Sans" w:cs="Open Sans"/>
          <w:color w:val="5A5A5A"/>
          <w:spacing w:val="-1"/>
          <w:shd w:val="clear" w:color="auto" w:fill="FFFFFF"/>
        </w:rPr>
      </w:pPr>
    </w:p>
    <w:p w14:paraId="71C605C7" w14:textId="5E852BB3" w:rsidR="00D6334B" w:rsidRPr="003D2503" w:rsidRDefault="00D6334B" w:rsidP="00790EC1">
      <w:pPr>
        <w:spacing w:line="360" w:lineRule="auto"/>
        <w:rPr>
          <w:rFonts w:ascii="Open Sans" w:hAnsi="Open Sans" w:cs="Open Sans"/>
          <w:color w:val="313131"/>
          <w:spacing w:val="-1"/>
          <w:shd w:val="clear" w:color="auto" w:fill="F7F7F7"/>
        </w:rPr>
      </w:pPr>
    </w:p>
    <w:sectPr w:rsidR="00D6334B" w:rsidRPr="003D250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02C0E2" w14:textId="77777777" w:rsidR="00F910CB" w:rsidRDefault="00F910CB" w:rsidP="00860042">
      <w:r>
        <w:separator/>
      </w:r>
    </w:p>
  </w:endnote>
  <w:endnote w:type="continuationSeparator" w:id="0">
    <w:p w14:paraId="3FDA9A21" w14:textId="77777777" w:rsidR="00F910CB" w:rsidRDefault="00F910CB" w:rsidP="00860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3120D3" w14:textId="77777777" w:rsidR="00F910CB" w:rsidRDefault="00F910CB" w:rsidP="00860042">
      <w:r>
        <w:separator/>
      </w:r>
    </w:p>
  </w:footnote>
  <w:footnote w:type="continuationSeparator" w:id="0">
    <w:p w14:paraId="676E1BB9" w14:textId="77777777" w:rsidR="00F910CB" w:rsidRDefault="00F910CB" w:rsidP="00860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19B"/>
    <w:rsid w:val="00004F2F"/>
    <w:rsid w:val="000F1E02"/>
    <w:rsid w:val="00296A41"/>
    <w:rsid w:val="002F1547"/>
    <w:rsid w:val="003909AB"/>
    <w:rsid w:val="003D2503"/>
    <w:rsid w:val="003F3A16"/>
    <w:rsid w:val="00427B72"/>
    <w:rsid w:val="004E2F59"/>
    <w:rsid w:val="00504D93"/>
    <w:rsid w:val="00790EC1"/>
    <w:rsid w:val="007A5443"/>
    <w:rsid w:val="007D3A25"/>
    <w:rsid w:val="00860042"/>
    <w:rsid w:val="00A733AC"/>
    <w:rsid w:val="00A93BC3"/>
    <w:rsid w:val="00B56401"/>
    <w:rsid w:val="00C0739F"/>
    <w:rsid w:val="00C1655E"/>
    <w:rsid w:val="00C8781F"/>
    <w:rsid w:val="00D373AB"/>
    <w:rsid w:val="00D6334B"/>
    <w:rsid w:val="00D7119B"/>
    <w:rsid w:val="00E13B40"/>
    <w:rsid w:val="00E43B8D"/>
    <w:rsid w:val="00E47949"/>
    <w:rsid w:val="00EB632D"/>
    <w:rsid w:val="00ED6A68"/>
    <w:rsid w:val="00EE1016"/>
    <w:rsid w:val="00F21E78"/>
    <w:rsid w:val="00F910CB"/>
    <w:rsid w:val="00FB3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79BFB3"/>
  <w15:chartTrackingRefBased/>
  <w15:docId w15:val="{4377C486-C763-400E-9DA4-28E0587AF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0042"/>
    <w:pPr>
      <w:widowControl w:val="0"/>
      <w:spacing w:after="0" w:line="240" w:lineRule="auto"/>
      <w:jc w:val="both"/>
    </w:pPr>
    <w:rPr>
      <w:sz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60042"/>
    <w:pPr>
      <w:widowControl/>
      <w:tabs>
        <w:tab w:val="center" w:pos="4680"/>
        <w:tab w:val="right" w:pos="9360"/>
      </w:tabs>
      <w:jc w:val="left"/>
    </w:pPr>
    <w:rPr>
      <w:sz w:val="22"/>
      <w14:ligatures w14:val="standardContextual"/>
    </w:rPr>
  </w:style>
  <w:style w:type="character" w:customStyle="1" w:styleId="HeaderChar">
    <w:name w:val="Header Char"/>
    <w:basedOn w:val="DefaultParagraphFont"/>
    <w:link w:val="Header"/>
    <w:uiPriority w:val="99"/>
    <w:rsid w:val="00860042"/>
  </w:style>
  <w:style w:type="paragraph" w:styleId="Footer">
    <w:name w:val="footer"/>
    <w:basedOn w:val="Normal"/>
    <w:link w:val="FooterChar"/>
    <w:uiPriority w:val="99"/>
    <w:unhideWhenUsed/>
    <w:rsid w:val="00860042"/>
    <w:pPr>
      <w:widowControl/>
      <w:tabs>
        <w:tab w:val="center" w:pos="4680"/>
        <w:tab w:val="right" w:pos="9360"/>
      </w:tabs>
      <w:jc w:val="left"/>
    </w:pPr>
    <w:rPr>
      <w:sz w:val="22"/>
      <w14:ligatures w14:val="standardContextual"/>
    </w:rPr>
  </w:style>
  <w:style w:type="character" w:customStyle="1" w:styleId="FooterChar">
    <w:name w:val="Footer Char"/>
    <w:basedOn w:val="DefaultParagraphFont"/>
    <w:link w:val="Footer"/>
    <w:uiPriority w:val="99"/>
    <w:rsid w:val="00860042"/>
  </w:style>
  <w:style w:type="paragraph" w:styleId="NormalWeb">
    <w:name w:val="Normal (Web)"/>
    <w:basedOn w:val="Normal"/>
    <w:uiPriority w:val="99"/>
    <w:semiHidden/>
    <w:unhideWhenUsed/>
    <w:rsid w:val="003909AB"/>
    <w:pPr>
      <w:widowControl/>
      <w:spacing w:before="100" w:beforeAutospacing="1" w:after="100" w:afterAutospacing="1"/>
      <w:jc w:val="left"/>
    </w:pPr>
    <w:rPr>
      <w:rFonts w:ascii="Times New Roman" w:eastAsia="Times New Roman" w:hAnsi="Times New Roman"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428874">
      <w:bodyDiv w:val="1"/>
      <w:marLeft w:val="0"/>
      <w:marRight w:val="0"/>
      <w:marTop w:val="0"/>
      <w:marBottom w:val="0"/>
      <w:divBdr>
        <w:top w:val="none" w:sz="0" w:space="0" w:color="auto"/>
        <w:left w:val="none" w:sz="0" w:space="0" w:color="auto"/>
        <w:bottom w:val="none" w:sz="0" w:space="0" w:color="auto"/>
        <w:right w:val="none" w:sz="0" w:space="0" w:color="auto"/>
      </w:divBdr>
    </w:div>
    <w:div w:id="1158959742">
      <w:bodyDiv w:val="1"/>
      <w:marLeft w:val="0"/>
      <w:marRight w:val="0"/>
      <w:marTop w:val="0"/>
      <w:marBottom w:val="0"/>
      <w:divBdr>
        <w:top w:val="none" w:sz="0" w:space="0" w:color="auto"/>
        <w:left w:val="none" w:sz="0" w:space="0" w:color="auto"/>
        <w:bottom w:val="none" w:sz="0" w:space="0" w:color="auto"/>
        <w:right w:val="none" w:sz="0" w:space="0" w:color="auto"/>
      </w:divBdr>
    </w:div>
    <w:div w:id="1378353423">
      <w:bodyDiv w:val="1"/>
      <w:marLeft w:val="0"/>
      <w:marRight w:val="0"/>
      <w:marTop w:val="0"/>
      <w:marBottom w:val="0"/>
      <w:divBdr>
        <w:top w:val="none" w:sz="0" w:space="0" w:color="auto"/>
        <w:left w:val="none" w:sz="0" w:space="0" w:color="auto"/>
        <w:bottom w:val="none" w:sz="0" w:space="0" w:color="auto"/>
        <w:right w:val="none" w:sz="0" w:space="0" w:color="auto"/>
      </w:divBdr>
    </w:div>
    <w:div w:id="1607611861">
      <w:bodyDiv w:val="1"/>
      <w:marLeft w:val="0"/>
      <w:marRight w:val="0"/>
      <w:marTop w:val="0"/>
      <w:marBottom w:val="0"/>
      <w:divBdr>
        <w:top w:val="none" w:sz="0" w:space="0" w:color="auto"/>
        <w:left w:val="none" w:sz="0" w:space="0" w:color="auto"/>
        <w:bottom w:val="none" w:sz="0" w:space="0" w:color="auto"/>
        <w:right w:val="none" w:sz="0" w:space="0" w:color="auto"/>
      </w:divBdr>
    </w:div>
    <w:div w:id="1733847183">
      <w:bodyDiv w:val="1"/>
      <w:marLeft w:val="0"/>
      <w:marRight w:val="0"/>
      <w:marTop w:val="0"/>
      <w:marBottom w:val="0"/>
      <w:divBdr>
        <w:top w:val="none" w:sz="0" w:space="0" w:color="auto"/>
        <w:left w:val="none" w:sz="0" w:space="0" w:color="auto"/>
        <w:bottom w:val="none" w:sz="0" w:space="0" w:color="auto"/>
        <w:right w:val="none" w:sz="0" w:space="0" w:color="auto"/>
      </w:divBdr>
    </w:div>
    <w:div w:id="2100368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94</Words>
  <Characters>536</Characters>
  <Application>Microsoft Office Word</Application>
  <DocSecurity>0</DocSecurity>
  <Lines>4</Lines>
  <Paragraphs>1</Paragraphs>
  <ScaleCrop>false</ScaleCrop>
  <Company/>
  <LinksUpToDate>false</LinksUpToDate>
  <CharactersWithSpaces>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Mei, Jay</dc:creator>
  <cp:keywords/>
  <dc:description/>
  <cp:lastModifiedBy>Wang, Cherry</cp:lastModifiedBy>
  <cp:revision>15</cp:revision>
  <dcterms:created xsi:type="dcterms:W3CDTF">2023-09-20T08:05:00Z</dcterms:created>
  <dcterms:modified xsi:type="dcterms:W3CDTF">2025-07-16T02:32:00Z</dcterms:modified>
</cp:coreProperties>
</file>