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210" w:afterAutospacing="0"/>
        <w:rPr>
          <w:rFonts w:ascii="微软雅黑 Light" w:hAnsi="微软雅黑 Light" w:eastAsia="微软雅黑 Light"/>
          <w:b w:val="0"/>
          <w:bCs w:val="0"/>
          <w:color w:val="333333"/>
          <w:spacing w:val="8"/>
          <w:sz w:val="33"/>
          <w:szCs w:val="33"/>
        </w:rPr>
      </w:pPr>
      <w:r>
        <w:rPr>
          <w:rFonts w:hint="eastAsia" w:ascii="微软雅黑 Light" w:hAnsi="微软雅黑 Light" w:eastAsia="微软雅黑 Light" w:cs="Times New Roman"/>
          <w:b w:val="0"/>
          <w:sz w:val="32"/>
          <w:szCs w:val="32"/>
        </w:rPr>
        <w:t>【快报】</w:t>
      </w:r>
      <w:r>
        <w:rPr>
          <w:rFonts w:hint="eastAsia" w:ascii="微软雅黑 Light" w:hAnsi="微软雅黑 Light" w:eastAsia="微软雅黑 Light"/>
          <w:b w:val="0"/>
          <w:bCs w:val="0"/>
          <w:color w:val="333333"/>
          <w:spacing w:val="8"/>
          <w:sz w:val="33"/>
          <w:szCs w:val="33"/>
        </w:rPr>
        <w:t>东北大学ESI高被引论文1</w:t>
      </w:r>
      <w:r>
        <w:rPr>
          <w:rFonts w:ascii="微软雅黑 Light" w:hAnsi="微软雅黑 Light" w:eastAsia="微软雅黑 Light"/>
          <w:b w:val="0"/>
          <w:bCs w:val="0"/>
          <w:color w:val="333333"/>
          <w:spacing w:val="8"/>
          <w:sz w:val="33"/>
          <w:szCs w:val="33"/>
        </w:rPr>
        <w:t>52</w:t>
      </w:r>
      <w:r>
        <w:rPr>
          <w:rFonts w:hint="eastAsia" w:ascii="微软雅黑 Light" w:hAnsi="微软雅黑 Light" w:eastAsia="微软雅黑 Light"/>
          <w:b w:val="0"/>
          <w:bCs w:val="0"/>
          <w:color w:val="333333"/>
          <w:spacing w:val="8"/>
          <w:sz w:val="33"/>
          <w:szCs w:val="33"/>
        </w:rPr>
        <w:t>篇（201</w:t>
      </w:r>
      <w:r>
        <w:rPr>
          <w:rFonts w:ascii="微软雅黑 Light" w:hAnsi="微软雅黑 Light" w:eastAsia="微软雅黑 Light"/>
          <w:b w:val="0"/>
          <w:bCs w:val="0"/>
          <w:color w:val="333333"/>
          <w:spacing w:val="8"/>
          <w:sz w:val="33"/>
          <w:szCs w:val="33"/>
        </w:rPr>
        <w:t>9</w:t>
      </w:r>
      <w:r>
        <w:rPr>
          <w:rFonts w:hint="eastAsia" w:ascii="微软雅黑 Light" w:hAnsi="微软雅黑 Light" w:eastAsia="微软雅黑 Light"/>
          <w:b w:val="0"/>
          <w:bCs w:val="0"/>
          <w:color w:val="333333"/>
          <w:spacing w:val="8"/>
          <w:sz w:val="33"/>
          <w:szCs w:val="33"/>
        </w:rPr>
        <w:t>年第</w:t>
      </w:r>
      <w:r>
        <w:rPr>
          <w:rFonts w:ascii="微软雅黑 Light" w:hAnsi="微软雅黑 Light" w:eastAsia="微软雅黑 Light"/>
          <w:b w:val="0"/>
          <w:bCs w:val="0"/>
          <w:color w:val="333333"/>
          <w:spacing w:val="8"/>
          <w:sz w:val="33"/>
          <w:szCs w:val="33"/>
        </w:rPr>
        <w:t>2</w:t>
      </w:r>
      <w:r>
        <w:rPr>
          <w:rFonts w:hint="eastAsia" w:ascii="微软雅黑 Light" w:hAnsi="微软雅黑 Light" w:eastAsia="微软雅黑 Light"/>
          <w:b w:val="0"/>
          <w:bCs w:val="0"/>
          <w:color w:val="333333"/>
          <w:spacing w:val="8"/>
          <w:sz w:val="33"/>
          <w:szCs w:val="33"/>
        </w:rPr>
        <w:t>期）</w:t>
      </w:r>
    </w:p>
    <w:p>
      <w:pPr>
        <w:spacing w:line="288" w:lineRule="auto"/>
        <w:ind w:firstLine="480" w:firstLineChars="200"/>
        <w:jc w:val="left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sz w:val="24"/>
          <w:szCs w:val="24"/>
        </w:rPr>
        <w:t>ESI于201</w:t>
      </w:r>
      <w:r>
        <w:rPr>
          <w:rFonts w:ascii="微软雅黑" w:hAnsi="微软雅黑" w:eastAsia="微软雅黑" w:cs="Times New Roman"/>
          <w:sz w:val="24"/>
          <w:szCs w:val="24"/>
        </w:rPr>
        <w:t>9</w:t>
      </w:r>
      <w:r>
        <w:rPr>
          <w:rFonts w:hint="eastAsia" w:ascii="微软雅黑" w:hAnsi="微软雅黑" w:eastAsia="微软雅黑" w:cs="Times New Roman"/>
          <w:sz w:val="24"/>
          <w:szCs w:val="24"/>
        </w:rPr>
        <w:t>年</w:t>
      </w:r>
      <w:r>
        <w:rPr>
          <w:rFonts w:ascii="微软雅黑" w:hAnsi="微软雅黑" w:eastAsia="微软雅黑" w:cs="Times New Roman"/>
          <w:sz w:val="24"/>
          <w:szCs w:val="24"/>
        </w:rPr>
        <w:t>3</w:t>
      </w:r>
      <w:r>
        <w:rPr>
          <w:rFonts w:hint="eastAsia" w:ascii="微软雅黑" w:hAnsi="微软雅黑" w:eastAsia="微软雅黑" w:cs="Times New Roman"/>
          <w:sz w:val="24"/>
          <w:szCs w:val="24"/>
        </w:rPr>
        <w:t>月1</w:t>
      </w:r>
      <w:r>
        <w:rPr>
          <w:rFonts w:ascii="微软雅黑" w:hAnsi="微软雅黑" w:eastAsia="微软雅黑" w:cs="Times New Roman"/>
          <w:sz w:val="24"/>
          <w:szCs w:val="24"/>
        </w:rPr>
        <w:t>4</w:t>
      </w:r>
      <w:r>
        <w:rPr>
          <w:rFonts w:hint="eastAsia" w:ascii="微软雅黑" w:hAnsi="微软雅黑" w:eastAsia="微软雅黑" w:cs="Times New Roman"/>
          <w:sz w:val="24"/>
          <w:szCs w:val="24"/>
        </w:rPr>
        <w:t>日</w:t>
      </w:r>
      <w:r>
        <w:rPr>
          <w:rFonts w:ascii="微软雅黑" w:hAnsi="微软雅黑" w:eastAsia="微软雅黑" w:cs="Times New Roman"/>
          <w:sz w:val="24"/>
          <w:szCs w:val="24"/>
        </w:rPr>
        <w:t>进行了更新，</w:t>
      </w:r>
      <w:r>
        <w:rPr>
          <w:rFonts w:hint="eastAsia" w:ascii="微软雅黑" w:hAnsi="微软雅黑" w:eastAsia="微软雅黑" w:cs="Times New Roman"/>
          <w:sz w:val="24"/>
          <w:szCs w:val="24"/>
        </w:rPr>
        <w:t>东北</w:t>
      </w:r>
      <w:r>
        <w:rPr>
          <w:rFonts w:ascii="微软雅黑" w:hAnsi="微软雅黑" w:eastAsia="微软雅黑" w:cs="Times New Roman"/>
          <w:sz w:val="24"/>
          <w:szCs w:val="24"/>
        </w:rPr>
        <w:t>大学共产生了</w:t>
      </w:r>
      <w:r>
        <w:rPr>
          <w:rFonts w:hint="eastAsia" w:ascii="微软雅黑" w:hAnsi="微软雅黑" w:eastAsia="微软雅黑" w:cs="Times New Roman"/>
          <w:sz w:val="24"/>
          <w:szCs w:val="24"/>
        </w:rPr>
        <w:t>1</w:t>
      </w:r>
      <w:r>
        <w:rPr>
          <w:rFonts w:ascii="微软雅黑" w:hAnsi="微软雅黑" w:eastAsia="微软雅黑" w:cs="Times New Roman"/>
          <w:sz w:val="24"/>
          <w:szCs w:val="24"/>
        </w:rPr>
        <w:t>52</w:t>
      </w:r>
      <w:r>
        <w:rPr>
          <w:rFonts w:hint="eastAsia" w:ascii="微软雅黑" w:hAnsi="微软雅黑" w:eastAsia="微软雅黑" w:cs="Times New Roman"/>
          <w:sz w:val="24"/>
          <w:szCs w:val="24"/>
        </w:rPr>
        <w:t>篇高被引</w:t>
      </w:r>
      <w:r>
        <w:rPr>
          <w:rFonts w:ascii="微软雅黑" w:hAnsi="微软雅黑" w:eastAsia="微软雅黑" w:cs="Times New Roman"/>
          <w:sz w:val="24"/>
          <w:szCs w:val="24"/>
        </w:rPr>
        <w:t>论文，</w:t>
      </w:r>
      <w:r>
        <w:rPr>
          <w:rFonts w:hint="eastAsia" w:ascii="微软雅黑" w:hAnsi="微软雅黑" w:eastAsia="微软雅黑" w:cs="Times New Roman"/>
          <w:sz w:val="24"/>
          <w:szCs w:val="24"/>
        </w:rPr>
        <w:t>下面就</w:t>
      </w:r>
      <w:r>
        <w:rPr>
          <w:rFonts w:ascii="微软雅黑" w:hAnsi="微软雅黑" w:eastAsia="微软雅黑" w:cs="Times New Roman"/>
          <w:sz w:val="24"/>
          <w:szCs w:val="24"/>
        </w:rPr>
        <w:t>来了解一下</w:t>
      </w:r>
      <w:r>
        <w:rPr>
          <w:rFonts w:hint="eastAsia" w:ascii="微软雅黑" w:hAnsi="微软雅黑" w:eastAsia="微软雅黑" w:cs="Times New Roman"/>
          <w:sz w:val="24"/>
          <w:szCs w:val="24"/>
        </w:rPr>
        <w:t>本期东大高被引论文的具体情况吧~</w:t>
      </w:r>
    </w:p>
    <w:p>
      <w:pPr>
        <w:spacing w:line="288" w:lineRule="auto"/>
        <w:rPr>
          <w:rFonts w:ascii="微软雅黑" w:hAnsi="微软雅黑" w:eastAsia="微软雅黑" w:cs="Times New Roman"/>
          <w:b/>
          <w:sz w:val="24"/>
          <w:szCs w:val="24"/>
          <w:highlight w:val="cyan"/>
        </w:rPr>
      </w:pPr>
    </w:p>
    <w:p>
      <w:pPr>
        <w:spacing w:line="288" w:lineRule="auto"/>
        <w:rPr>
          <w:rFonts w:ascii="微软雅黑" w:hAnsi="微软雅黑" w:eastAsia="微软雅黑" w:cs="Times New Roman"/>
          <w:b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sz w:val="24"/>
          <w:szCs w:val="24"/>
          <w:highlight w:val="cyan"/>
        </w:rPr>
        <w:t>写在</w:t>
      </w:r>
      <w:r>
        <w:rPr>
          <w:rFonts w:ascii="微软雅黑" w:hAnsi="微软雅黑" w:eastAsia="微软雅黑" w:cs="Times New Roman"/>
          <w:b/>
          <w:sz w:val="24"/>
          <w:szCs w:val="24"/>
          <w:highlight w:val="cyan"/>
        </w:rPr>
        <w:t>前面</w:t>
      </w:r>
    </w:p>
    <w:p>
      <w:pPr>
        <w:pStyle w:val="6"/>
        <w:spacing w:before="0" w:beforeAutospacing="0" w:after="0" w:afterAutospacing="0" w:line="288" w:lineRule="auto"/>
        <w:rPr>
          <w:rFonts w:ascii="微软雅黑" w:hAnsi="微软雅黑" w:eastAsia="微软雅黑"/>
        </w:rPr>
      </w:pPr>
      <w:r>
        <w:rPr>
          <w:rStyle w:val="11"/>
          <w:rFonts w:ascii="微软雅黑" w:hAnsi="微软雅黑" w:eastAsia="微软雅黑"/>
        </w:rPr>
        <w:t>基本科学指标</w:t>
      </w:r>
    </w:p>
    <w:p>
      <w:pPr>
        <w:pStyle w:val="6"/>
        <w:spacing w:before="0" w:beforeAutospacing="0" w:after="0" w:afterAutospacing="0" w:line="288" w:lineRule="auto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基本科学指标（Essential ScienceIndicators，简称ESI），是一个基于Web of Science核心合集数据库的深度分析型研究工具。ESI可以确定在某个研究领域有影响力的国家、机构、论文和出版物，以及研究前沿。</w:t>
      </w:r>
    </w:p>
    <w:p>
      <w:pPr>
        <w:pStyle w:val="6"/>
        <w:spacing w:before="0" w:beforeAutospacing="0" w:after="0" w:afterAutospacing="0" w:line="288" w:lineRule="auto"/>
        <w:rPr>
          <w:rFonts w:ascii="微软雅黑" w:hAnsi="微软雅黑" w:eastAsia="微软雅黑"/>
        </w:rPr>
      </w:pPr>
      <w:r>
        <w:rPr>
          <w:rStyle w:val="11"/>
          <w:rFonts w:ascii="微软雅黑" w:hAnsi="微软雅黑" w:eastAsia="微软雅黑"/>
        </w:rPr>
        <w:t>高被引论文</w:t>
      </w:r>
    </w:p>
    <w:p>
      <w:pPr>
        <w:pStyle w:val="6"/>
        <w:spacing w:before="0" w:beforeAutospacing="0" w:after="0" w:afterAutospacing="0" w:line="288" w:lineRule="auto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ESI高被引论文（Highly Cited Paper），是指基于最近10余年的引文数据，同学科同出版年中被引次数排名进入前1%的论文。</w:t>
      </w:r>
    </w:p>
    <w:p>
      <w:pPr>
        <w:pStyle w:val="6"/>
        <w:spacing w:before="0" w:beforeAutospacing="0" w:after="0" w:afterAutospacing="0" w:line="288" w:lineRule="auto"/>
        <w:rPr>
          <w:rFonts w:ascii="微软雅黑" w:hAnsi="微软雅黑" w:eastAsia="微软雅黑"/>
        </w:rPr>
      </w:pPr>
      <w:r>
        <w:rPr>
          <w:rStyle w:val="11"/>
          <w:rFonts w:ascii="微软雅黑" w:hAnsi="微软雅黑" w:eastAsia="微软雅黑"/>
        </w:rPr>
        <w:t>数据统计范围</w:t>
      </w:r>
    </w:p>
    <w:p>
      <w:pPr>
        <w:pStyle w:val="6"/>
        <w:spacing w:before="0" w:beforeAutospacing="0" w:after="0" w:afterAutospacing="0" w:line="288" w:lineRule="auto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ESI中统计的论文为近10余年SCIE、SSCI两个数据库中Article和Review类型的论文</w:t>
      </w:r>
      <w:r>
        <w:rPr>
          <w:rFonts w:hint="eastAsia" w:ascii="微软雅黑" w:hAnsi="微软雅黑" w:eastAsia="微软雅黑"/>
        </w:rPr>
        <w:t>；</w:t>
      </w:r>
      <w:r>
        <w:rPr>
          <w:rFonts w:ascii="微软雅黑" w:hAnsi="微软雅黑" w:eastAsia="微软雅黑"/>
        </w:rPr>
        <w:t>被引频次为近10余年被SCIE、SSCI和A&amp;HCI三个库中论文引用的数量。</w:t>
      </w:r>
    </w:p>
    <w:p>
      <w:pPr>
        <w:widowControl/>
        <w:spacing w:line="288" w:lineRule="auto"/>
        <w:jc w:val="left"/>
        <w:rPr>
          <w:rFonts w:ascii="微软雅黑" w:hAnsi="微软雅黑" w:eastAsia="微软雅黑" w:cs="宋体"/>
          <w:kern w:val="0"/>
          <w:sz w:val="24"/>
          <w:szCs w:val="24"/>
        </w:rPr>
      </w:pPr>
    </w:p>
    <w:p>
      <w:pPr>
        <w:widowControl/>
        <w:spacing w:line="288" w:lineRule="auto"/>
        <w:jc w:val="left"/>
        <w:rPr>
          <w:rFonts w:ascii="微软雅黑" w:hAnsi="微软雅黑" w:eastAsia="微软雅黑" w:cs="宋体"/>
          <w:kern w:val="0"/>
          <w:sz w:val="24"/>
          <w:szCs w:val="24"/>
        </w:rPr>
      </w:pPr>
      <w:r>
        <w:rPr>
          <w:rFonts w:ascii="微软雅黑" w:hAnsi="微软雅黑" w:eastAsia="微软雅黑" w:cs="宋体"/>
          <w:kern w:val="0"/>
          <w:sz w:val="24"/>
          <w:szCs w:val="24"/>
        </w:rPr>
        <w:t>ESI数据每两个月滚动更新一次。</w:t>
      </w:r>
      <w:r>
        <w:rPr>
          <w:rFonts w:ascii="微软雅黑" w:hAnsi="微软雅黑" w:eastAsia="微软雅黑" w:cs="宋体"/>
          <w:color w:val="D6340D"/>
          <w:kern w:val="0"/>
          <w:sz w:val="24"/>
          <w:szCs w:val="24"/>
        </w:rPr>
        <w:t>本文所采用的数据为2019年3月14日更新的数据，涵盖了2008年1月1日至2018年12月31日的论文信息。</w:t>
      </w:r>
    </w:p>
    <w:p>
      <w:pPr>
        <w:spacing w:line="288" w:lineRule="auto"/>
        <w:rPr>
          <w:rFonts w:ascii="微软雅黑" w:hAnsi="微软雅黑" w:eastAsia="微软雅黑" w:cs="Times New Roman"/>
          <w:b/>
          <w:sz w:val="24"/>
          <w:szCs w:val="24"/>
        </w:rPr>
      </w:pPr>
    </w:p>
    <w:p>
      <w:pPr>
        <w:spacing w:line="288" w:lineRule="auto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sz w:val="24"/>
          <w:szCs w:val="24"/>
          <w:highlight w:val="cyan"/>
        </w:rPr>
        <w:t>数据基本</w:t>
      </w:r>
      <w:r>
        <w:rPr>
          <w:rFonts w:ascii="微软雅黑" w:hAnsi="微软雅黑" w:eastAsia="微软雅黑" w:cs="Times New Roman"/>
          <w:sz w:val="24"/>
          <w:szCs w:val="24"/>
          <w:highlight w:val="cyan"/>
        </w:rPr>
        <w:t>情况</w:t>
      </w:r>
    </w:p>
    <w:p>
      <w:pPr>
        <w:spacing w:line="288" w:lineRule="auto"/>
        <w:ind w:firstLine="480" w:firstLineChars="200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sz w:val="24"/>
          <w:szCs w:val="24"/>
        </w:rPr>
        <w:t>东北大学</w:t>
      </w:r>
      <w:r>
        <w:rPr>
          <w:rFonts w:ascii="微软雅黑" w:hAnsi="微软雅黑" w:eastAsia="微软雅黑" w:cs="Times New Roman"/>
          <w:sz w:val="24"/>
          <w:szCs w:val="24"/>
        </w:rPr>
        <w:t>的152</w:t>
      </w:r>
      <w:r>
        <w:rPr>
          <w:rFonts w:hint="eastAsia" w:ascii="微软雅黑" w:hAnsi="微软雅黑" w:eastAsia="微软雅黑" w:cs="Times New Roman"/>
          <w:sz w:val="24"/>
          <w:szCs w:val="24"/>
        </w:rPr>
        <w:t>篇</w:t>
      </w:r>
      <w:r>
        <w:rPr>
          <w:rFonts w:ascii="微软雅黑" w:hAnsi="微软雅黑" w:eastAsia="微软雅黑" w:cs="Times New Roman"/>
          <w:sz w:val="24"/>
          <w:szCs w:val="24"/>
        </w:rPr>
        <w:t>高被引论文涉及11</w:t>
      </w:r>
      <w:r>
        <w:rPr>
          <w:rFonts w:hint="eastAsia" w:ascii="微软雅黑" w:hAnsi="微软雅黑" w:eastAsia="微软雅黑" w:cs="Times New Roman"/>
          <w:sz w:val="24"/>
          <w:szCs w:val="24"/>
        </w:rPr>
        <w:t>个ESI学科、</w:t>
      </w:r>
      <w:r>
        <w:rPr>
          <w:rFonts w:ascii="微软雅黑" w:hAnsi="微软雅黑" w:eastAsia="微软雅黑" w:cs="Times New Roman"/>
          <w:sz w:val="24"/>
          <w:szCs w:val="24"/>
        </w:rPr>
        <w:t>79</w:t>
      </w:r>
      <w:r>
        <w:rPr>
          <w:rFonts w:hint="eastAsia" w:ascii="微软雅黑" w:hAnsi="微软雅黑" w:eastAsia="微软雅黑" w:cs="Times New Roman"/>
          <w:sz w:val="24"/>
          <w:szCs w:val="24"/>
        </w:rPr>
        <w:t>种来源</w:t>
      </w:r>
      <w:r>
        <w:rPr>
          <w:rFonts w:ascii="微软雅黑" w:hAnsi="微软雅黑" w:eastAsia="微软雅黑" w:cs="Times New Roman"/>
          <w:sz w:val="24"/>
          <w:szCs w:val="24"/>
        </w:rPr>
        <w:t>期刊</w:t>
      </w:r>
      <w:r>
        <w:rPr>
          <w:rFonts w:hint="eastAsia" w:ascii="微软雅黑" w:hAnsi="微软雅黑" w:eastAsia="微软雅黑" w:cs="Times New Roman"/>
          <w:sz w:val="24"/>
          <w:szCs w:val="24"/>
        </w:rPr>
        <w:t>、</w:t>
      </w:r>
      <w:r>
        <w:rPr>
          <w:rFonts w:ascii="微软雅黑" w:hAnsi="微软雅黑" w:eastAsia="微软雅黑" w:cs="Times New Roman"/>
          <w:sz w:val="24"/>
          <w:szCs w:val="24"/>
        </w:rPr>
        <w:t>49</w:t>
      </w:r>
      <w:r>
        <w:rPr>
          <w:rFonts w:hint="eastAsia" w:ascii="微软雅黑" w:hAnsi="微软雅黑" w:eastAsia="微软雅黑" w:cs="Times New Roman"/>
          <w:sz w:val="24"/>
          <w:szCs w:val="24"/>
        </w:rPr>
        <w:t>个</w:t>
      </w:r>
      <w:r>
        <w:rPr>
          <w:rFonts w:ascii="微软雅黑" w:hAnsi="微软雅黑" w:eastAsia="微软雅黑" w:cs="Times New Roman"/>
          <w:sz w:val="24"/>
          <w:szCs w:val="24"/>
        </w:rPr>
        <w:t>基金资助</w:t>
      </w:r>
      <w:r>
        <w:rPr>
          <w:rFonts w:hint="eastAsia" w:ascii="微软雅黑" w:hAnsi="微软雅黑" w:eastAsia="微软雅黑" w:cs="Times New Roman"/>
          <w:sz w:val="24"/>
          <w:szCs w:val="24"/>
        </w:rPr>
        <w:t>机构，</w:t>
      </w:r>
      <w:r>
        <w:rPr>
          <w:rFonts w:ascii="微软雅黑" w:hAnsi="微软雅黑" w:eastAsia="微软雅黑" w:cs="Times New Roman"/>
          <w:sz w:val="24"/>
          <w:szCs w:val="24"/>
        </w:rPr>
        <w:t>13</w:t>
      </w:r>
      <w:r>
        <w:rPr>
          <w:rFonts w:hint="eastAsia" w:ascii="微软雅黑" w:hAnsi="微软雅黑" w:eastAsia="微软雅黑" w:cs="Times New Roman"/>
          <w:sz w:val="24"/>
          <w:szCs w:val="24"/>
        </w:rPr>
        <w:t>个</w:t>
      </w:r>
      <w:r>
        <w:rPr>
          <w:rFonts w:ascii="微软雅黑" w:hAnsi="微软雅黑" w:eastAsia="微软雅黑" w:cs="Times New Roman"/>
          <w:sz w:val="24"/>
          <w:szCs w:val="24"/>
        </w:rPr>
        <w:t>学院</w:t>
      </w:r>
      <w:r>
        <w:rPr>
          <w:rFonts w:hint="eastAsia" w:ascii="微软雅黑" w:hAnsi="微软雅黑" w:eastAsia="微软雅黑" w:cs="Times New Roman"/>
          <w:sz w:val="24"/>
          <w:szCs w:val="24"/>
        </w:rPr>
        <w:t>/实验</w:t>
      </w:r>
      <w:r>
        <w:rPr>
          <w:rFonts w:ascii="微软雅黑" w:hAnsi="微软雅黑" w:eastAsia="微软雅黑" w:cs="Times New Roman"/>
          <w:sz w:val="24"/>
          <w:szCs w:val="24"/>
        </w:rPr>
        <w:t>室</w:t>
      </w:r>
      <w:r>
        <w:rPr>
          <w:rFonts w:hint="eastAsia" w:ascii="微软雅黑" w:hAnsi="微软雅黑" w:eastAsia="微软雅黑" w:cs="Times New Roman"/>
          <w:sz w:val="24"/>
          <w:szCs w:val="24"/>
        </w:rPr>
        <w:t>的</w:t>
      </w:r>
      <w:r>
        <w:rPr>
          <w:rFonts w:ascii="微软雅黑" w:hAnsi="微软雅黑" w:eastAsia="微软雅黑" w:cs="Times New Roman"/>
          <w:sz w:val="24"/>
          <w:szCs w:val="24"/>
        </w:rPr>
        <w:t>200</w:t>
      </w:r>
      <w:r>
        <w:rPr>
          <w:rFonts w:hint="eastAsia" w:ascii="微软雅黑" w:hAnsi="微软雅黑" w:eastAsia="微软雅黑" w:cs="Times New Roman"/>
          <w:sz w:val="24"/>
          <w:szCs w:val="24"/>
        </w:rPr>
        <w:t>位</w:t>
      </w:r>
      <w:r>
        <w:rPr>
          <w:rFonts w:ascii="微软雅黑" w:hAnsi="微软雅黑" w:eastAsia="微软雅黑" w:cs="Times New Roman"/>
          <w:sz w:val="24"/>
          <w:szCs w:val="24"/>
        </w:rPr>
        <w:t>科研人员有高被引</w:t>
      </w:r>
      <w:r>
        <w:rPr>
          <w:rFonts w:hint="eastAsia" w:ascii="微软雅黑" w:hAnsi="微软雅黑" w:eastAsia="微软雅黑" w:cs="Times New Roman"/>
          <w:sz w:val="24"/>
          <w:szCs w:val="24"/>
        </w:rPr>
        <w:t>论文产出。</w:t>
      </w:r>
      <w:r>
        <w:rPr>
          <w:rFonts w:ascii="微软雅黑" w:hAnsi="微软雅黑" w:eastAsia="微软雅黑" w:cs="Times New Roman"/>
          <w:sz w:val="24"/>
          <w:szCs w:val="24"/>
        </w:rPr>
        <w:t>东大学者以第一作者发表的</w:t>
      </w:r>
      <w:r>
        <w:rPr>
          <w:rFonts w:hint="eastAsia" w:ascii="微软雅黑" w:hAnsi="微软雅黑" w:eastAsia="微软雅黑" w:cs="Times New Roman"/>
          <w:sz w:val="24"/>
          <w:szCs w:val="24"/>
        </w:rPr>
        <w:t>高被引</w:t>
      </w:r>
      <w:r>
        <w:rPr>
          <w:rFonts w:ascii="微软雅黑" w:hAnsi="微软雅黑" w:eastAsia="微软雅黑" w:cs="Times New Roman"/>
          <w:sz w:val="24"/>
          <w:szCs w:val="24"/>
        </w:rPr>
        <w:t>论文</w:t>
      </w:r>
      <w:r>
        <w:rPr>
          <w:rFonts w:hint="eastAsia" w:ascii="微软雅黑" w:hAnsi="微软雅黑" w:eastAsia="微软雅黑" w:cs="Times New Roman"/>
          <w:sz w:val="24"/>
          <w:szCs w:val="24"/>
        </w:rPr>
        <w:t>为</w:t>
      </w:r>
      <w:r>
        <w:rPr>
          <w:rFonts w:ascii="微软雅黑" w:hAnsi="微软雅黑" w:eastAsia="微软雅黑" w:cs="Times New Roman"/>
          <w:sz w:val="24"/>
          <w:szCs w:val="24"/>
        </w:rPr>
        <w:t>102篇，以通讯作者发表的</w:t>
      </w:r>
      <w:r>
        <w:rPr>
          <w:rFonts w:hint="eastAsia" w:ascii="微软雅黑" w:hAnsi="微软雅黑" w:eastAsia="微软雅黑" w:cs="Times New Roman"/>
          <w:sz w:val="24"/>
          <w:szCs w:val="24"/>
        </w:rPr>
        <w:t>高被引</w:t>
      </w:r>
      <w:r>
        <w:rPr>
          <w:rFonts w:ascii="微软雅黑" w:hAnsi="微软雅黑" w:eastAsia="微软雅黑" w:cs="Times New Roman"/>
          <w:sz w:val="24"/>
          <w:szCs w:val="24"/>
        </w:rPr>
        <w:t>论文</w:t>
      </w:r>
      <w:r>
        <w:rPr>
          <w:rFonts w:hint="eastAsia" w:ascii="微软雅黑" w:hAnsi="微软雅黑" w:eastAsia="微软雅黑" w:cs="Times New Roman"/>
          <w:sz w:val="24"/>
          <w:szCs w:val="24"/>
        </w:rPr>
        <w:t>为</w:t>
      </w:r>
      <w:r>
        <w:rPr>
          <w:rFonts w:ascii="微软雅黑" w:hAnsi="微软雅黑" w:eastAsia="微软雅黑" w:cs="Times New Roman"/>
          <w:sz w:val="24"/>
          <w:szCs w:val="24"/>
        </w:rPr>
        <w:t>103篇</w:t>
      </w:r>
      <w:r>
        <w:rPr>
          <w:rFonts w:hint="eastAsia" w:ascii="微软雅黑" w:hAnsi="微软雅黑" w:eastAsia="微软雅黑" w:cs="Times New Roman"/>
          <w:sz w:val="24"/>
          <w:szCs w:val="24"/>
        </w:rPr>
        <w:t>。</w:t>
      </w:r>
    </w:p>
    <w:p>
      <w:pPr>
        <w:spacing w:line="288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  <w:highlight w:val="cyan"/>
        </w:rPr>
        <w:t>高被引</w:t>
      </w:r>
      <w:r>
        <w:rPr>
          <w:rFonts w:ascii="微软雅黑" w:hAnsi="微软雅黑" w:eastAsia="微软雅黑"/>
          <w:sz w:val="24"/>
          <w:szCs w:val="24"/>
          <w:highlight w:val="cyan"/>
        </w:rPr>
        <w:t>论文</w:t>
      </w:r>
      <w:r>
        <w:rPr>
          <w:rFonts w:hint="eastAsia" w:ascii="微软雅黑" w:hAnsi="微软雅黑" w:eastAsia="微软雅黑"/>
          <w:sz w:val="24"/>
          <w:szCs w:val="24"/>
          <w:highlight w:val="cyan"/>
        </w:rPr>
        <w:t>学科分布</w:t>
      </w:r>
      <w:r>
        <w:rPr>
          <w:rFonts w:ascii="微软雅黑" w:hAnsi="微软雅黑" w:eastAsia="微软雅黑"/>
          <w:sz w:val="24"/>
          <w:szCs w:val="24"/>
          <w:highlight w:val="cyan"/>
        </w:rPr>
        <w:t>情况</w:t>
      </w:r>
    </w:p>
    <w:p>
      <w:pPr>
        <w:spacing w:before="156" w:beforeLines="50" w:after="156" w:afterLines="50" w:line="300" w:lineRule="auto"/>
        <w:jc w:val="center"/>
        <w:rPr>
          <w:rFonts w:ascii="微软雅黑 Light" w:hAnsi="微软雅黑 Light" w:eastAsia="微软雅黑 Light"/>
          <w:sz w:val="24"/>
          <w:szCs w:val="24"/>
        </w:rPr>
      </w:pPr>
      <w:r>
        <w:rPr>
          <w:rFonts w:ascii="微软雅黑 Light" w:hAnsi="微软雅黑 Light" w:eastAsia="微软雅黑 Light"/>
          <w:sz w:val="24"/>
          <w:szCs w:val="24"/>
        </w:rPr>
        <w:drawing>
          <wp:inline distT="0" distB="0" distL="0" distR="0">
            <wp:extent cx="5274310" cy="2879725"/>
            <wp:effectExtent l="0" t="0" r="2540" b="15875"/>
            <wp:docPr id="7" name="图表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>
      <w:pPr>
        <w:spacing w:before="156" w:beforeLines="50" w:after="156" w:afterLines="50" w:line="300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  <w:highlight w:val="cyan"/>
        </w:rPr>
        <w:t>第一</w:t>
      </w:r>
      <w:r>
        <w:rPr>
          <w:rFonts w:ascii="微软雅黑" w:hAnsi="微软雅黑" w:eastAsia="微软雅黑"/>
          <w:sz w:val="24"/>
          <w:szCs w:val="24"/>
          <w:highlight w:val="cyan"/>
        </w:rPr>
        <w:t>或通讯作者</w:t>
      </w:r>
      <w:r>
        <w:rPr>
          <w:rFonts w:hint="eastAsia" w:ascii="微软雅黑" w:hAnsi="微软雅黑" w:eastAsia="微软雅黑"/>
          <w:sz w:val="24"/>
          <w:szCs w:val="24"/>
          <w:highlight w:val="cyan"/>
        </w:rPr>
        <w:t>高被引</w:t>
      </w:r>
      <w:r>
        <w:rPr>
          <w:rFonts w:ascii="微软雅黑" w:hAnsi="微软雅黑" w:eastAsia="微软雅黑"/>
          <w:sz w:val="24"/>
          <w:szCs w:val="24"/>
          <w:highlight w:val="cyan"/>
        </w:rPr>
        <w:t>论文</w:t>
      </w:r>
      <w:r>
        <w:rPr>
          <w:rFonts w:hint="eastAsia" w:ascii="微软雅黑" w:hAnsi="微软雅黑" w:eastAsia="微软雅黑"/>
          <w:sz w:val="24"/>
          <w:szCs w:val="24"/>
          <w:highlight w:val="cyan"/>
        </w:rPr>
        <w:t>学科分布</w:t>
      </w:r>
      <w:r>
        <w:rPr>
          <w:rFonts w:ascii="微软雅黑" w:hAnsi="微软雅黑" w:eastAsia="微软雅黑"/>
          <w:sz w:val="24"/>
          <w:szCs w:val="24"/>
          <w:highlight w:val="cyan"/>
        </w:rPr>
        <w:t>情况</w:t>
      </w:r>
    </w:p>
    <w:p>
      <w:pPr>
        <w:spacing w:before="156" w:beforeLines="50" w:after="156" w:afterLines="50" w:line="300" w:lineRule="auto"/>
        <w:jc w:val="center"/>
        <w:rPr>
          <w:rFonts w:ascii="微软雅黑 Light" w:hAnsi="微软雅黑 Light" w:eastAsia="微软雅黑 Light"/>
          <w:sz w:val="24"/>
          <w:szCs w:val="24"/>
        </w:rPr>
      </w:pPr>
      <w:r>
        <w:rPr>
          <w:rFonts w:ascii="微软雅黑 Light" w:hAnsi="微软雅黑 Light" w:eastAsia="微软雅黑 Light"/>
          <w:sz w:val="24"/>
          <w:szCs w:val="24"/>
        </w:rPr>
        <w:drawing>
          <wp:inline distT="0" distB="0" distL="0" distR="0">
            <wp:extent cx="5274310" cy="2885440"/>
            <wp:effectExtent l="0" t="0" r="2540" b="10160"/>
            <wp:docPr id="8" name="图表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>
      <w:pPr>
        <w:rPr>
          <w:rFonts w:ascii="微软雅黑 Light" w:hAnsi="微软雅黑 Light" w:eastAsia="微软雅黑 Light"/>
          <w:highlight w:val="cyan"/>
        </w:rPr>
      </w:pPr>
    </w:p>
    <w:p>
      <w:pPr>
        <w:rPr>
          <w:rFonts w:ascii="微软雅黑 Light" w:hAnsi="微软雅黑 Light" w:eastAsia="微软雅黑 Light" w:cs="宋体"/>
          <w:color w:val="000000"/>
          <w:kern w:val="0"/>
          <w:sz w:val="24"/>
          <w:szCs w:val="24"/>
        </w:rPr>
      </w:pPr>
    </w:p>
    <w:p>
      <w:pPr>
        <w:rPr>
          <w:rFonts w:ascii="微软雅黑 Light" w:hAnsi="微软雅黑 Light" w:eastAsia="微软雅黑 Light" w:cs="宋体"/>
          <w:color w:val="000000"/>
          <w:kern w:val="0"/>
          <w:sz w:val="22"/>
        </w:rPr>
        <w:sectPr>
          <w:pgSz w:w="11906" w:h="16838"/>
          <w:pgMar w:top="1440" w:right="1418" w:bottom="1440" w:left="1418" w:header="851" w:footer="992" w:gutter="0"/>
          <w:cols w:space="425" w:num="1"/>
          <w:docGrid w:type="lines" w:linePitch="312" w:charSpace="0"/>
        </w:sectPr>
      </w:pPr>
    </w:p>
    <w:p>
      <w:pPr>
        <w:snapToGrid w:val="0"/>
        <w:spacing w:line="300" w:lineRule="auto"/>
        <w:rPr>
          <w:rFonts w:ascii="微软雅黑" w:hAnsi="微软雅黑" w:eastAsia="微软雅黑"/>
          <w:b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/>
          <w:b/>
          <w:sz w:val="24"/>
          <w:szCs w:val="24"/>
          <w:highlight w:val="cyan"/>
        </w:rPr>
        <w:t>本期</w:t>
      </w:r>
      <w:r>
        <w:rPr>
          <w:rFonts w:ascii="微软雅黑" w:hAnsi="微软雅黑" w:eastAsia="微软雅黑"/>
          <w:b/>
          <w:sz w:val="24"/>
          <w:szCs w:val="24"/>
          <w:highlight w:val="cyan"/>
        </w:rPr>
        <w:t>东北大学ESI</w:t>
      </w:r>
      <w:r>
        <w:rPr>
          <w:rFonts w:hint="eastAsia" w:ascii="微软雅黑" w:hAnsi="微软雅黑" w:eastAsia="微软雅黑"/>
          <w:b/>
          <w:sz w:val="24"/>
          <w:szCs w:val="24"/>
          <w:highlight w:val="cyan"/>
        </w:rPr>
        <w:t>高被引论文</w:t>
      </w:r>
      <w:r>
        <w:rPr>
          <w:rFonts w:hint="eastAsia" w:ascii="微软雅黑" w:hAnsi="微软雅黑" w:eastAsia="微软雅黑"/>
          <w:b/>
          <w:sz w:val="24"/>
          <w:szCs w:val="24"/>
        </w:rPr>
        <w:t>（按照</w:t>
      </w:r>
      <w:r>
        <w:rPr>
          <w:rFonts w:ascii="微软雅黑" w:hAnsi="微软雅黑" w:eastAsia="微软雅黑"/>
          <w:b/>
          <w:sz w:val="24"/>
          <w:szCs w:val="24"/>
        </w:rPr>
        <w:t>研究领域及出版年排序</w:t>
      </w:r>
      <w:r>
        <w:rPr>
          <w:rFonts w:hint="eastAsia" w:ascii="微软雅黑" w:hAnsi="微软雅黑" w:eastAsia="微软雅黑"/>
          <w:b/>
          <w:sz w:val="24"/>
          <w:szCs w:val="24"/>
        </w:rPr>
        <w:t>）</w:t>
      </w:r>
    </w:p>
    <w:bookmarkEnd w:id="0"/>
    <w:tbl>
      <w:tblPr>
        <w:tblStyle w:val="27"/>
        <w:tblW w:w="15694" w:type="dxa"/>
        <w:tblInd w:w="0" w:type="dxa"/>
        <w:tblBorders>
          <w:top w:val="single" w:color="8EAADB" w:themeColor="accent1" w:themeTint="99" w:sz="4" w:space="0"/>
          <w:left w:val="single" w:color="8EAADB" w:themeColor="accent1" w:themeTint="99" w:sz="4" w:space="0"/>
          <w:bottom w:val="single" w:color="8EAADB" w:themeColor="accent1" w:themeTint="99" w:sz="4" w:space="0"/>
          <w:right w:val="single" w:color="8EAADB" w:themeColor="accent1" w:themeTint="99" w:sz="4" w:space="0"/>
          <w:insideH w:val="single" w:color="8EAADB" w:themeColor="accent1" w:themeTint="99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4678"/>
        <w:gridCol w:w="2694"/>
        <w:gridCol w:w="2553"/>
        <w:gridCol w:w="1842"/>
        <w:gridCol w:w="706"/>
        <w:gridCol w:w="1136"/>
        <w:gridCol w:w="1381"/>
      </w:tblGrid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04" w:type="dxa"/>
            <w:tcBorders>
              <w:top w:val="single" w:color="4472C4" w:themeColor="accent1" w:sz="4" w:space="0"/>
              <w:left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序号</w:t>
            </w:r>
          </w:p>
        </w:tc>
        <w:tc>
          <w:tcPr>
            <w:tcW w:w="4678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标题</w:t>
            </w:r>
          </w:p>
        </w:tc>
        <w:tc>
          <w:tcPr>
            <w:tcW w:w="2694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作者</w:t>
            </w:r>
          </w:p>
        </w:tc>
        <w:tc>
          <w:tcPr>
            <w:tcW w:w="2553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来源</w:t>
            </w:r>
          </w:p>
        </w:tc>
        <w:tc>
          <w:tcPr>
            <w:tcW w:w="1842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研究领域</w:t>
            </w:r>
          </w:p>
        </w:tc>
        <w:tc>
          <w:tcPr>
            <w:tcW w:w="70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被引频次</w:t>
            </w:r>
          </w:p>
        </w:tc>
        <w:tc>
          <w:tcPr>
            <w:tcW w:w="113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出版年</w:t>
            </w:r>
          </w:p>
        </w:tc>
        <w:tc>
          <w:tcPr>
            <w:tcW w:w="1381" w:type="dxa"/>
            <w:tcBorders>
              <w:top w:val="single" w:color="4472C4" w:themeColor="accent1" w:sz="4" w:space="0"/>
              <w:bottom w:val="single" w:color="4472C4" w:themeColor="accent1" w:sz="4" w:space="0"/>
              <w:right w:val="single" w:color="4472C4" w:themeColor="accent1" w:sz="4" w:space="0"/>
              <w:insideH w:val="single" w:sz="4" w:space="0"/>
            </w:tcBorders>
            <w:shd w:val="clear" w:color="auto" w:fill="4472C4" w:themeFill="accent1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更新周期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UROLITHINS ATTENUATE LPS-INDUCED NEUROINFLAMMATION IN BV2MICROGLIA VIA MAPK, AKT, AND NF-KAPPA B SIGNALING PATHWAYS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XU, JL;YUAN, CH;WANG, GH;LUO, JM;MA, H;XU, L;MU, Y;LI, YY;SEERAM, NP;HUANG, XS;LI, LY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J AGR FOOD CHEM 66 (3): 571-580 JAN 24 2018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农业科学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第13-14期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PREPARATION AND APPLICATION OF MAGNETIC FE3O4 NANOPARTICLES FOR WASTEWATER PURIFICATION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SHEN, YF;TANG, J;NIE, ZH;WANG, YD;REN, Y;ZUO, L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SEP PURIF TECHNOL 68 (3): 312-319 AUG 25 2009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235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2009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第5-14期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LARGE SCALE SYNTHESIS OF N-DOPED MULTI-LAYERED GRAPHENE SHEETS BY SIMPLE ARC-DISCHARGE METHOD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LI, N;WANG, ZY;ZHAO, KK;SHI, ZJ;GU, ZN;XU, SK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CARBON 48 (1): 255-259 JAN 2010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231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2010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SYNTHESIS OF MESOPOROUS CARBON SPHERES WITH A HIERARCHICAL PORE STRUCTURE FOR THE ELECTROCHEMICAL DOUBLE-LAYER CAPACITOR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LI, Q;JIANG, RR;DOU, YQ;WU, ZX;HUANG, T;FENG, D;YANG, JP;YU, AS;ZHAO, DY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CARBON 49 (4): 1248-1257 APR 2011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204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2011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IN SITU GROWTH OF SILVER NANOPARTICLES ON GRAPHENE QUANTUM DOTS FOR ULTRASENSITIVE COLORIMETRIC DETECTION OF H2O2 AND GLUCOSE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CHEN, S;HAI, X;CHEN, XW;WANG, JH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ANAL CHEM 86 (13): 6689-6694 JUL 1 2014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2014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第13-14期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GREEN PREPARATION OF CARBON DOTS WITH PAPAYA AS CARBON SOURCE FOR EFFECTIVE FLUORESCENT SENSING OF IRON (III) AND ESCHERICHIA COLI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WANG, N;WANG, YT;GUO, TT;YANG, T;CHEN, ML;WANG, JH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BIOSENS BIOELECTRON 85: 68-75 NOV 15 2016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2016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第11期、第13-14期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COMPOSITION AND MICROSTRUCTURE DEPENDENT CORROSION BEHAVIOUR OF MG-LI ALLOYS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LI, CQ;XU, DK;CHEN, XB;WANG, BJ;WU, RZ;HAN, EH;BIRBILIS, N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ELECTROCHIM ACTA 260: 55-64 JAN 10 2018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第13-14期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INNER FILTER EFFECT-BASED FLUORESCENT SENSING SYSTEMS: A REVIEW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CHEN, S;YU, YL;WANG, JH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ANAL CHIM ACTA 999: 13-26 JAN 25 2018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第13-14期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THEORETICAL ANALYSIS OF HIGH-SENSITIVE SEAWATER TEMPERATURE AND SALINITY MEASUREMENT BASED ON C-TYPE MICRO-STRUCTURED FIBER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ZHAO, Y;WU, QL;ZHANG, YN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SENSOR ACTUATOR B-CHEM 258: 822-828 APR 1 2018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REVIEW OF SALINITY MEASUREMENT TECHNOLOGY BASED ON OPTICAL FIBER SENSOR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QIAN, Y;ZHAO, Y;WU, QL;YANG, Y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SENSOR ACTUATOR B-CHEM 260: 86-105 MAY 1 2018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APPLICATIONS AND DEVELOPMENTS OF ON-CHIP BIOCHEMICAL SENSORS BASED ON OPTOFLUIDIC PHOTONIC CRYSTAL CAVITIES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ZHANG, YN;ZHAO, Y;ZHOU, TM;WU, QL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LAB CHIP 18 (1): 57-74 JAN 7 2018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第10期、第12期、第14期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UPCONVERSION NANOPARTICLES: SYNTHESIS, SURFACE MODIFICATION AND BIOLOGICAL APPLICATIONS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WANG, M;ABBINENI, G;CLEVENGER, A;MAO, CB;XU, SK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NANOMED-NANOTECHNOL BIOL MED 7 (6): 710-729 DEC 2011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206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2011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ADAPTIVE DYNAMIC PROGRAMMING: AN INTRODUCTION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WANG, FY;ZHANG, H;LIU, D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COMPUT INTELL MAG 4 (2): 39-47 MAY 2009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224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2009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 CHAOS-BASED SYMMETRIC IMAGE ENCRYPTION SCHEME USING A BIT-LEVEL PERMUTATION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ZHU, ZL;ZHANG, W;WONG, KW;YU, H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INFORM SCIENCES 181 (6): 1171-1186 MAR 15 2011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2011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NEAR-OPTIMAL CONTROL FOR NONZERO-SUM DIFFERENTIAL GAMES OF CONTINUOUS-TIME NONLINEAR SYSTEMS USING SINGLE-NETWORK ADP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ZHANG, HG;CUI, LL;LUO, YH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 TRANS CYBERN 43 (1): 206-216 FEB 2013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2013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STABILITY ANALYSIS FOR NEURAL NETWORKS WITH TIME-VARYING DELAY BASED ON QUADRATIC CONVEX COMBINATION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ZHANG, HG;YANG, FS;LIU, XD;ZHANG, QL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NEURAL NETW LEARN 24 (4): 513-521 APR 2013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2013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 COMPREHENSIVE REVIEW OF STABILITY ANALYSIS OF CONTINUOUS-TIME RECURRENT NEURAL NETWORKS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ZHANG, HG;WANG, ZS;LIU, DR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NEURAL NETW LEARN 25 (7): 1229-1262 JUL 2014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188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2014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ADAPTIVE NEURAL NETWORK OUTPUT FEEDBACK CONTROL FOR STOCHASTIC NONLINEAR SYSTEMS WITH UNKNOWN DEAD-ZONE AND UNMODELED DYNAMICS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TONG, SC;WANG, T;LI, YM;ZHANG, HG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 TRANS CYBERN 44 (6): 910-921 JUN 2014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2014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ONLINE ADAPTIVE POLICY LEARNING ALGORITHM FOR H-INFINITY STATE FEEDBACK CONTROL OF UNKNOWN AFFINE NONLINEAR DISCRETE-TIME SYSTEMS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ZHANG, HG;QIN, CB;JIANG, B;LUO, YH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 TRANS CYBERN 44 (12): 2706-2718 DEC 2014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2014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第6-14期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MULTIPLE ACTOR-CRITIC STRUCTURES FOR CONTINUOUS-TIME OPTIMAL CONTROL USING INPUT-OUTPUT DATA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SONG, RZ;LEWIS, F;WEI, QL;ZHANG, HG;JIANG, ZP;LEVINE, D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NEURAL NETW LEARN 26 (4): 851-865 APR 2015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第1-3期、第6-14期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ADAPTIVE OUTPUT-FEEDBACK NEURAL CONTROL OF SWITCHED UNCERTAIN NONLINEAR SYSTEMS WITH AVERAGE DWELL TIME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LONG, LJ;ZHAO, J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NEURAL NETW LEARN 26 (7): 1350-1362 JUL 2015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第1期、第3-14期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H-INFINITY TRACKING CONTROL OF COMPLETELY UNKNOWN CONTINUOUS-TIME SYSTEMS VIA OFF-POLICY REINFORCEMENT LEARNING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MODARES, H;LEWIS, FL;JIANG, ZP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NEURAL NETW LEARN 26 (10): 2550-2562 OCT 2015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第11期、第13-14期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STABILITY CRITERIA FOR RECURRENT NEURAL NETWORKS WITH TIME-VARYING DELAY BASED ON SECONDARY DELAY PARTITIONING METHOD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WANG, ZS;LIU, L;SHAN, QH;ZHANG, HG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NEURAL NETW LEARN 26 (10): 2589-2595 OCT 2015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第7-14期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DISTRIBUTED COOPERATIVE OPTIMAL CONTROL FOR MULTIAGENT SYSTEMS ON DIRECTED GRAPHS: AN INVERSE OPTIMAL APPROACH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ZHANG, HG;FENG, T;YANG, GH;LIANG, HJ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 TRANS CYBERN 45 (7): 1315-1326 JUL 2015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OBSERVER-BASED ADAPTIVE NEURAL NETWORK CONTROL FOR NONLINEAR SYSTEMS IN NONSTRICT-FEEDBACK FORM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CHEN, B;ZHANG, HG;LIN, C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NEURAL NETW LEARN 27 (1): 89-98 JAN 2016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2016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第8-14期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CONTROL SYNTHESIS OF DISCRETE-TIME T-S FUZZY SYSTEMS VIA A MULTI-INSTANT HOMOGENOUS POLYNOMIAL APPROACH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XIE, XP;YUE, D;ZHANG, HG;XUE, YS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 TRANS CYBERN 46 (3): 630-640 MAR 2016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2016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FLS-BASED ADAPTIVE SYNCHRONIZATION CONTROL OF COMPLEX DYNAMICAL NETWORKS WITH NONLINEAR COUPLINGS AND STATE-DEPENDENT UNCERTAINTIES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LI, XJ;YANG, GH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 TRANS CYBERN 46 (1): 171-180 JAN 2016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2016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第4-11期、第13-14期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 SEPARATED APPROACH TO CONTROL OF MARKOV JUMP NONLINEAR SYSTEMS WITH GENERAL TRANSITION PROBABILITIES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SHEN, M;PARK, JH;YE, D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 TRANS CYBERN 46 (9): 2010-2018 SEP 2016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2016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第4-14期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ENERGY-EFFICIENT DATA-GATHERING RENDEZVOUS ALGORITHMS WITH MOBILE SINKS FOR WIRELESS SENSOR NETWORKS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ZHANG, J;TANG, J;WANG, TB;CHEN, F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INT J SENS NETW 23 (4): 248-257 2017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第9-14期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COMMAND FILTER-BASED ADAPTIVE NEURAL TRACKING CONTROLLER DESIGN FOR UNCERTAIN SWITCHED NONLINEAR OUTPUT-CONSTRAINED SYSTEMS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NIU, B;LIU, YJ;ZONG, GD;HAN, ZY;FU, J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 TRANS CYBERN 47 (10): 3160-3171 SP. ISS. SI OCT 2017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第7-14期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DISCRETE-TIME DETERMINISTIC Q-LEARNING: A NOVEL CONVERGENCE ANALYSIS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WEI, QL;LEWIS, FL;SUN, QY;YAN, PF;SONG, RZ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 TRANS CYBERN 47 (5): 1224-1237 MAY 2017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第8-14期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OPTIMAL OUTPUT REGULATION FOR HETEROGENEOUS MULTIAGENT SYSTEMS VIA ADAPTIVE DYNAMIC PROGRAMMING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ZHANG, HG;LIANG, HJ;WANG, ZS;FENG, T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NEURAL NETW LEARN 28 (1): 18-29 JAN 2017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第7-14期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CONTROL SYNTHESIS OF DISCRETE-TIME T-S FUZZY SYSTEMS: REDUCING THE CONSERVATISM WHILST ALLEVIATING THE COMPUTATIONAL BURDEN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XIE, XP;YUE, D;ZHANG, HG;PENG, C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 TRANS CYBERN 47 (9): 2480-2491 SP. ISS. SI SEP 2017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第7-14期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STABILITY OF RECURRENT NEURAL NETWORKS WITH TIME-VARYING DELAY VIA FLEXIBLE TERMINAL METHOD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WANG, ZS;DING, SB;SHAN, QH;ZHANG, HG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NEURAL NETW LEARN 28 (10): 2456-2463 OCT 2017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第7-14期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HYSENSE: A HYBRID MOBILE CROWDSENSING FRAMEWORK FOR SENSING OPPORTUNITIES COMPENSATION UNDER DYNAMIC COVERAGE CONSTRAINT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HAN, GJ;LIU, L;CHAN, SM;YU, RY;YANG, Y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COMMUN MAG 55 (3): 93-99 MAR 2017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第7-14期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ADAPTIVE FAULT-TOLERANT SYNCHRONIZATION CONTROL OF A CLASS OF COMPLEX DYNAMICAL NETWORKS WITH GENERAL INPUT DISTRIBUTION MATRICES AND ACTUATOR FAULTS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LI, XJ;YANG, GH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NEURAL NETW LEARN 28 (3): 559-569 MAR 2017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第6-14期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ISLES 2015-A PUBLIC EVALUATION BENCHMARK FOR ISCHEMIC STROKE LESION SEGMENTATION FROM MULTISPECTRAL MRI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MAIER, O;MENZE, BH;VON DER GABLENTZ, J;HANI, L;HEINRICH, MP;LIEBRAND, M;WINZECK, S;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e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t al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MED IMAGE ANAL 35: 250-269 JAN 2017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第5-14期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DYNAMIC FULLY HOMOMORPHIC ENCRYPTION-BASED MERKLE TREE FOR LIGHTWEIGHT STREAMING AUTHENTICATED DATA STRUCTURES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XU, J;WEI, LW;ZHANG, Y;WANG, AD;ZHOU, FC;GAO, CZ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J NETW COMPUT APPL 107: 113-124 APR 1 2018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SPECTRUM INFERENCE IN COGNITIVE RADIO NETWORKS: ALGORITHMS AND APPLICATIONS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DING, GR;JIAO, YT;WANG, JL;ZOU, YL;WU, QH;YAO, YD;HANZO, L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COMMUN SURV TUTOR 20 (1): 150-182 2018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第12-14期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NOVEL FRAMEWORK OF RISK-AWARE VIRTUAL NETWORK EMBEDDING IN OPTICAL DATA CENTER NETWORKS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HOU, WG;NING, ZL;GUO, L;CHEN, ZK;OBAIDAT, MS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SYST J 12 (3): 2473-2482 SEP 2018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第13-14期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 COMPREHENSIVE SURVEY OF NETWORK FUNCTION VIRTUALIZATION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YI, B;WANG, XW;LI, KQ;DAS, SK;HUANG, M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COMPUT NETW 133: 212-262 MAR 14 2018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第13-14期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MODEL-BASED ADAPTIVE EVENT-TRIGGERED CONTROL OF STRICT-FEEDBACK NONLINEAR SYSTEMS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LI, YX;YANG, GH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NEURAL NETW LEARN 29 (4): 1033-1045 APR 2018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第10-14期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EXPONENTIAL STABILITY AND L-1-GAIN ANALYSIS FOR POSITIVE TIME-DELAY MARKOVIAN JUMP SYSTEMS WITH SWITCHING TRANSITION RATES SUBJECT TO AVERAGE DWELL TIME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QI, WH;PARK, JH;CHENG, J;KAO, YG;GAO, XW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INFORM SCIENCES 424: 224-234 JAN 2018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第12-14期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 SOCIAL-AWARE GROUP FORMATION FRAMEWORK FOR INFORMATION DIFFUSION IN NARROWBAND INTERNET OF THINGS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NING, ZL;WANG, XJ;KONG, XJ;HOU, WG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INTERNET THINGS J 5 (3): 1527-1538 SP. ISS. SI JUN 2018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NEURAL-NETWORK-BASED ADAPTIVE DECENTRALIZED FAULT-TOLERANT CONTROL FOR A CLASS OF INTERCONNECTED NONLINEAR SYSTEMS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LI, XJ;YANG, GH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NEURAL NETW LEARN 29 (1): 144-155 JAN 2018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第10-11期、第14期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GLOBAL ASYMPTOTIC STABILITY OF RECURRENT NEURAL NETWORKS WITH MULTIPLE TIME-VARYING DELAYS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ZHANG, HG;WANG, ZS;LIU, DR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NEURAL NETWORKS 19 (5): 855-873 MAY 2008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196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2008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 NOVEL INFINITE-TIME OPTIMAL TRACKING CONTROL SCHEME FOR A CLASS OF DISCRETE-TIME NONLINEAR SYSTEMS VIA THE GREEDY HDP ITERATION ALGORITHM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ZHANG, HG;WEI, QL;LUO, YH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SYST MAN CYBERN B 38 (4): 937-942 AUG 2008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2008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STABILITY ANALYSIS FOR LINEAR SWITCHED SYSTEMS WITH TIME-VARYING DELAY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SUN, XM;WANG, W;LIU, GP;ZHAO, J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SYST MAN CYBERN B 38 (2): 528-533 APR 2008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2008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ON STABILITY, L-2-GAIN AND H INFINITY CONTROL FOR SWITCHED SYSTEMS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ZHAO, J;HILL, DJ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AUTOMATICA 44 (5): 1220-1232 MAY 2008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322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2008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DISSIPATIVITY THEORY FOR SWITCHED SYSTEMS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ZHAO, J;HILL, DJ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AUTOMAT CONTR 53 (4): 941-953 MAY 2008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2008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第3-14期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STABILITY ANALYSIS OF MARKOVIAN JUMPING STOCHASTIC COHEN-GROSSBERG NEURAL NETWORKS WITH MIXED TIME DELAYS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ZHANG, HG;WANG, YC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NEURAL NETWORKS 19 (2): 366-370 FEB 2008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2008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NEURAL-NETWORK-BASED NEAR-OPTIMAL CONTROL FOR A CLASS OF DISCRETE-TIME AFFINE NONLINEAR SYSTEMS WITH CONTROL CONSTRAINTS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ZHANG, HG;LUO, YH;LIU, DR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NEURAL NETWORKS 20 (9): 1490-1503 SEP 2009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238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2009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NEURAL-NETWORK-BASED TERMINAL SLIDING-MODE CONTROL OF ROBOTIC MANIPULATORS INCLUDING ACTUATOR DYNAMICS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WANG, LY;CHAI, TY;ZHAI, LF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IND ELECTRON 56 (9): 3296-3304 SEP 2009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2009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第6-14期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SYNCHRONIZATION OF COMPLEX DYNAMICAL NETWORKS WITH SWITCHING TOPOLOGY: A SWITCHED SYSTEM POINT OF VIEW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ZHAO, J;HILL, DJ;LIU, T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AUTOMATICA 45 (11): 2502-2511 NOV 2009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2009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第9-14期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 COMBINED BACKSTEPPING AND SMALL-GAIN APPROACH TO ROBUST ADAPTIVE FUZZY OUTPUT FEEDBACK CONTROL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TONG, SC;HE, XL;ZHANG, HG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FUZZY SYST 17 (5): 1059-1069 OCT 2009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278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2009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NOVEL WEIGHTING-DELAY-BASED STABILITY CRITERIA FOR RECURRENT NEURAL NETWORKS WITH TIME-VARYING DELAY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ZHANG, HG;LIU, ZW;HUANG, GB;WANG, ZS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NEURAL NETWORKS 21 (1): 91-106 JAN 2010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252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2010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ROBUST GLOBAL EXPONENTIAL SYNCHRONIZATION OF UNCERTAIN CHAOTIC DELAYED NEURAL NETWORKS VIA DUAL-STAGE IMPULSIVE CONTROL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ZHANG, HG;MA, TD;HUANG, GB;WANG, ZL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SYST MAN CYBERN B 40 (3): 831-844 SP. ISS. SI JUN 2010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206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2010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DECENTRALIZED FAULT DIAGNOSIS OF LARGE-SCALE PROCESSES USING MULTIBLOCK KERNEL PARTIAL LEAST SQUARES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ZHANG, YW;ZHOU, H;QIN, SJ;CHAI, TY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IND INFORM 6 (1): 3-10 FEB 2010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2010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BACKSTEPPING DESIGN FOR GLOBAL STABILIZATION OF SWITCHED NONLINEAR SYSTEMS IN LOWER TRIANGULAR FORM UNDER ARBITRARY SWITCHINGS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MA, RC;ZHAO, J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AUTOMATICA 46 (11): 1819-1823 NOV 2010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179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2010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RELIABLE H-INFINITY CONTROL OF LINEAR SYSTEMS WITH ADAPTIVE MECHANISM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YANG, GH;YE, D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AUTOMAT CONTR 55 (1): 242-247 JAN 2010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2010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第3-14期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DATA-DRIVEN ROBUST APPROXIMATE OPTIMAL TRACKING CONTROL FOR UNKNOWN GENERAL NONLINEAR SYSTEMS USING ADAPTIVE DYNAMIC PROGRAMMING METHOD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ZHANG, HG;CUI, LL;ZHANG, X;LUO, YH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NEURAL NETWORKS 22 (12): 2226-2236 PART 2 DEC 2011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2011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RELAXED STABILITY CONDITIONS FOR CONTINUOUS-TIME T-S FUZZY-CONTROL SYSTEMS VIA AUGMENTED MULTI-INDEXED MATRIX APPROACH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ZHANG, HG;XIE, XP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FUZZY SYST 19 (3): 478-492 JUN 2011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2011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AN ITERATIVE ADAPTIVE DYNAMIC PROGRAMMING METHOD FOR SOLVING A CLASS OF NONLINEAR ZERO-SUM DIFFERENTIAL GAMES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ZHANG, HG;WEI, QL;LIU, DR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AUTOMATICA 47 (1): 207-214 JAN 2011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2011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ADAPTIVE NEURAL NETWORK DECENTRALIZED BACKSTEPPING OUTPUT-FEEDBACK CONTROL FOR NONLINEAR LARGE-SCALE SYSTEMS WITH TIME DELAYS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TONG, SC;LI, YM;ZHANG, HG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NEURAL NETWORKS 22 (7): 1073-1086 JUL 2011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2011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H-INFINITY CONTROL OF SWITCHED NONLINEAR SYSTEMS IN P-NORMAL FORM USING MULTIPLE LYAPUNOV FUNCTIONS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LONG, LJ;ZHAO, J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AUTOMAT CONTR 57 (5): 1285-1291 MAY 2012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2012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第6-14期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RECYCLING OF COMPOSITE MATERIALS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YANG, YX;BOOM, R;IRION, B;VAN HEERDEN, DJ;KUIPER, P;DE WIT, H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CHEM ENG PROCESS 51: 53-68 SP. ISS. SI JAN 2012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2012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第5-14期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AUTOASSEM: AN AUTOMATED ASSEMBLY PLANNING SYSTEM FOR COMPLEX PRODUCTS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XU, LD;WANG, CG;BI, ZM;YU, JP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IND INFORM 8 (3): 669-678 AUG 2012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2012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ROBUST ADAPTIVE FAULT-TOLERANT CONTROL FOR UNCERTAIN LINEAR SYSTEMS WITH ACTUATOR FAILURES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LI, XJ;YANG, GH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IET CONTR THEORY APPL 6 (10): 1544-1551 JUL 2012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2012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第5-14期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BARRIER LYAPUNOV FUNCTIONS FOR THE OUTPUT TRACKING CONTROL OF CONSTRAINED NONLINEAR SWITCHED SYSTEMS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NIU, B;ZHAO, J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SYST CONTROL LETT 62 (10): 963-971 OCT 2013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2013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CONTROL SYNTHESIS OF DISCRETE-TIME T-S FUZZY SYSTEMS BASED ON A NOVEL NON-PDC CONTROL SCHEME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XIE, XP;MA, HJ;ZHAO, Y;DING, DW;WANG, YC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FUZZY SYST 21 (1): 147-157 FEB 2013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2013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 REVIEW OF ULTRAFAST LASER MATERIALS MICROMACHINING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CHENG, J;LIU, CS;SHANG, S;LIU, D;PERRIE, W;DEARDEN, G;WATKINS, K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OPT LASER TECHNOL 46: 88-102 MAR 2013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2013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NETWORKED MULTIRATE OUTPUT FEEDBACK CONTROL FOR SETPOINTS COMPENSATION AND ITS APPLICATION TO ROUGHER FLOTATION PROCESS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LIU, FZ;GAO, HJ;QIU, JB;YIN, S;FAN, JL;CHAI, TY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IND ELECTRON 61 (1): 460-468 JAN 2014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2014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INTERNET OF THINGS FOR ENTERPRISE SYSTEMS OF MODERN MANUFACTURING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BI, ZM;XU, LD;WANG, CG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IND INFORM 10 (2): 1537-1546 MAY 2014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2014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NEURAL-NETWORK-BASED CONSTRAINED OPTIMAL CONTROL SCHEME FOR DISCRETE-TIME SWITCHED NONLINEAR SYSTEM USING DUAL HEURISTIC PROGRAMMING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ZHANG, HG;QIN, CB;LUO, YH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AUTOM SCI ENG 11 (3): 839-849 JUL 2014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2014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第4-14期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ADAPTIVE BACKSTEPPING STABILIZATION OF NONLINEAR UNCERTAIN SYSTEMS WITH QUANTIZED INPUT SIGNAL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ZHOU, J;WEN, CY;YANG, GH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AUTOMAT CONTR 59 (2): 460-464 FEB 2014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2014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第6-14期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COOPERATIVE ADAPTIVE FUZZY TRACKING CONTROL FOR NETWORKED UNKNOWN NONLINEAR MULTIAGENT SYSTEMS WITH TIME-VARYING ACTUATOR FAULTS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SHEN, QK;JIANG, B;SHI, P;ZHAO, J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FUZZY SYST 22 (3): 494-504 JUN 2014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2014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NEW RESULTS ON OUTPUT FEEDBACK H-INFINITY CONTROL FOR LINEAR DISCRETE-TIME SYSTEMS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CHANG, XH;YANG, GH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AUTOMAT CONTR 59 (5): 1355-1359 MAY 2014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2014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第8-9期、第14期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GLOBAL FINITE-TIME STABILIZATION OF A CLASS OF SWITCHED NONLINEAR SYSTEMS WITH THE POWERS OF POSITIVE ODD RATIONAL NUMBERS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FU, J;MA, RC;CHAI, TY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AUTOMATICA 54: 360-373 APR 2015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第2-14期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AN EFFICIENT APPROACH FOR REDUCING THE CONSERVATISM OF LMI-BASED STABILITY CONDITIONS FOR CONTINUOUS-TIME T-S FUZZY SYSTEMS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XIE, XP;LIU, ZW;ZHU, XL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FUZZY SET SYSTEM 263: 71-81 MAR 15 2015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NONLINEAR DISTURBANCE OBSERVER-BASED CONTROL DESIGN FOR A ROBOTIC EXOSKELETON INCORPORATING FUZZY APPROXIMATION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LI, ZJ;SU, CY;WANG, LY;CHEN, ZT;CHAI, TY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IND ELECTRON 62 (9): 5763-5775 SEP 2015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第8-10期、第13-14期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LEADER-BASED OPTIMAL COORDINATION CONTROL FOR THE CONSENSUS PROBLEM OF MULTIAGENT DIFFERENTIAL GAMES VIA FUZZY ADAPTIVE DYNAMIC PROGRAMMING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ZHANG, HG;ZHANG, JL;YANG, GH;LUO, YH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FUZZY SYST 23 (1): 152-163 FEB 2015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RELIABLE STATE FEEDBACK CONTROL OF T-S FUZZY SYSTEMS WITH SENSOR FAULTS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DONG, JX;YANG, GH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FUZZY SYST 23 (2): 421-433 APR 2015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第4期、第7-8期、第12-14期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 MULTIAGENT-BASED CONSENSUS ALGORITHM FOR DISTRIBUTED COORDINATED CONTROL OF DISTRIBUTED GENERATORS IN THE ENERGY INTERNET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SUN, QY;HAN, RK;ZHANG, HG;ZHOU, JG;GUERRERO, JM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SMART GRID 6 (6): 3006-3019 NOV 2015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PARTICLE SWARM OPTIMIZATION-BASED OPTIMAL POWER MANAGEMENT OF PLUG-IN HYBRID ELECTRIC VEHICLES CONSIDERING UNCERTAIN DRIVING CONDITIONS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CHEN, ZY;XIONG, R;CAO, JY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ENERGY 96: 197-208 FEB 1 2016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2016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第2-14期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SUPERHYDROPHOBIC TIO2/POLYVINYLIDENE FLUORIDE COMPOSITE SURFACE WITH REVERSIBLE WETTABILITY SWITCHING AND CORROSION RESISTANCE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QING, YQ;YANG, CN;YU, NN;SHANG, Y;SUN, YZ;WANG, LS;LIU, CS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CHEM ENG J 290: 37-44 APR 15 2016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2016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第4-14期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FAULT DETECTION FOR STOCHASTIC PARAMETER-VARYING MARKOVIAN JUMP SYSTEMS WITH APPLICATION TO NETWORKED CONTROL SYSTEMS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ZHAI, D;AN, LW;LI, JH;ZHANG, QL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APPL MATH MODEL 40 (3): 2368-2383 FEB 1 2016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2016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第1-2期、第12-14期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FUZZY ADAPTIVE OUTPUT FEEDBACK FAULT-TOLERANT TRACKING CONTROL OF A CLASS OF UNCERTAIN NONLINEAR SYSTEMS WITH NONAFFINE NONLINEAR FAULTS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LI, YX;YANG, GH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FUZZY SYST 24 (1): 223-234 FEB 2016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2016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第4-14期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ADAPTIVE ASYMPTOTIC TRACKING CONTROL OF UNCERTAIN NONLINEAR SYSTEMS WITH INPUT QUANTIZATION AND ACTUATOR FAULTS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LI, YX;YANG, GH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AUTOMATICA 72: 177-185 OCT 2016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2016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第12-14期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SWITCHED FUZZY OUTPUT FEEDBACK CONTROL AND ITS APPLICATION TO A MASS-SPRING-DAMPING SYSTEM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LI, HY;PAN, YN;SHI, P;SHI, Y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FUZZY SYST 24 (6): 1259-1269 DEC 2016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2016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第4-14期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IMAGE ENCRYPTION BASED ON THREE-DIMENSIONAL BIT MATRIX PERMUTATION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ZHANG, W;YU, H;ZHAO, YL;ZHU, ZL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SIGNAL PROCESS 118: 36-50 JAN 2016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2016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第1-2期、第5期、第14期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PREDICTING TEMPORAL SOCIAL CONTACT PATTERNS FOR DATA FORWARDING IN OPPORTUNISTIC MOBILE NETWORKS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ZHOU, H;LEUNG, VCM;ZHU, CS;XU, SZ;FAN, JL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VEH TECHNOL 66 (11): 10372-10383 NOV 2017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第10-14期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WASTE ENERGY RECOVERY AND ENERGY EFFICIENCY IMPROVEMENT IN CHINAS IRON AND STEEL INDUSTRY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ZHANG, Q;ZHAO, XY;LU, HY;NI, TJ;LI, Y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APPL ENERG 191: 502-520 APR 1 2017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第9-14期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EXERGY EFFICIENCY ANALYSIS OF ORC (ORGANIC RANKINE CYCLE) AND ORC-BASED COMBINED CYCLES DRIVEN BY LOW-TEMPERATURE WASTE HEAT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SUN, WQ;YUE, XY;WANG, YH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ENERG CONV MANAGE 135: 63-73 MAR 1 2017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第7-14期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LIF: A NEW KRIGING BASED LEARNING FUNCTION AND ITS APPLICATION TO STRUCTURAL RELIABILITY ANALYSIS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SUN, ZL;WANG, J;LI, R;TONG, C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RELIAB ENG SYST SAFETY 157: 152-165 JAN 2017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第10-14期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ADAPTIVE FUZZY HIERARCHICAL SLIDING-MODE CONTROL FOR A CLASS OF MIMO NONLINEAR TIME-DELAY SYSTEMS WITH INPUT SATURATION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ZHAO, XD;YANG, HJ;XIA, WG;WANG, XY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FUZZY SYST 25 (5): 1062-1077 OCT 2017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第9-14期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EVENT-TRIGGERED FUZZY CONTROL FOR NONLINEAR NETWORKED CONTROL SYSTEMS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PAN, YN;YANG, GH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FUZZY SET SYSTEM 329: 91-107 DEC 15 2017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第13-14期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SLIDING MODE CONTROL FOR SINGULAR STOCHASTIC MARKOVIAN JUMP SYSTEMS WITH UNCERTAINTIES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ZHANG, QL;LI, L;YAN, XG;SPURGEON, SK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AUTOMATICA 79: 27-34 MAY 2017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ADAPTIVE FAULT-TOLERANT TRACKING CONTROL FOR MIMO DISCRETE-TIME SYSTEMS VIA REINFORCEMENT LEARNING ALGORITHM WITH LESS LEARNING PARAMETERS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LIU, L;WANG, ZS;ZHANG, HG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AUTOM SCI ENG 14 (1): 299-313 JAN 2017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第6-14期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DATA-DRIVEN OPTIMAL CONSENSUS CONTROL FOR DISCRETE-TIME MULTI-AGENT SYSTEMS WITH UNKNOWN DYNAMICS USING REINFORCEMENT LEARNING METHOD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ZHANG, HG;JIANG, H;LUO, YH;XIAO, GY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IND ELECTRON 64 (5): 4091-4100 MAY 2017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第7-9期、第11-14期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ADAPTIVE OUTPUT-FEEDBACK CONTROLLER DESIGN FOR SWITCHED NONLINEAR STOCHASTIC SYSTEMS WITH A MODIFIED AVERAGE DWELL-TIME METHOD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NIU, B;KARIMI, HR;WANG, HQ;LIU, YL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SYST MAN CYBERN-SY 47 (7): 1371-1382 JUL 2017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第6-14期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 FIXED-TIME OUTPUT FEEDBACK CONTROL SCHEME FOR DOUBLE INTEGRATOR SYSTEMS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TIAN, BL;ZUO, ZY;YAN, XM;WANG, H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AUTOMATICA 80: 17-24 JUN 2017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SOLVING CHILLER LOADING OPTIMIZATION PROBLEMS USING AN IMPROVED TEACHING-LEARNING-BASED OPTIMIZATION ALGORITHM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DUAN, PY;LI, JQ;WANG, Y;SANG, HY;JIA, BX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OPTIM CONTR APPL METH 39 (1): 65-77 JAN-FEB 2018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第12-14期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COMPREHENSIVE ASSESSMENT OF ENERGY CONSERVATION AND CO2 EMISSIONS MITIGATION IN CHINAS IRON AND STEEL INDUSTRY BASED ON DYNAMIC MATERIAL FLOWS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ZHANG, Q;XU, J;WANG, YJ;HASANBEIGI, A;ZHANG, W;LU, HY;ARENS, M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APPL ENERG 209: 251-265 JAN 1 2018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第12-14期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EXPLOITING SELF-ADAPTIVE PERMUTATION-DIFFUSION AND DNA RANDOM ENCODING FOR SECURE AND EFFICIENT IMAGE ENCRYPTION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CHEN, JX;ZHU, ZL;ZHANG, LB;ZHANG, YS;YANG, BQ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SIGNAL PROCESS 142: 340-353 JAN 2018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第10-14期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INVESTIGATION OF LAYERED NI0.8CO0.15AL0.05LIO2 IN ELECTRODE FOR LOW-TEMPERATURE SOLID OXIDE FUEL CELLS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CHEN, G;SUN, WK;LUO, YD;LIU, HL;GENG, SJ;YU, K;LIU, GQ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INT J HYDROGEN ENERG 43 (1): 417-425 JAN 4 2018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第12-14期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EFFICIENT MULTI-OBJECTIVE OPTIMIZATION ALGORITHM FOR HYBRID FLOW SHOP SCHEDULING PROBLEMS WITH SETUP ENERGY CONSUMPTIONS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LI, JQ;SANG, HY;HAN, YY;WANG, CG;GAO, KZ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J CLEAN PROD 181: 584-598 APR 20 2018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第13-14期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GREEN SURVIVABLE COLLABORATIVE EDGE COMPUTING IN SMART CITIES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HOU, WG;NING, ZL;GUO, L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IND INFORM 14 (4): 1594-1605 APR 2018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第13-14期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QUICK ANSWER FOR BIG DATA IN SHARING ECONOMY INNOVATIVE COMPUTER ARCHITECTURE DESIGN FACILITATING OPTIMAL SERVICE-DEMAND MATCHING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GUO, L;NING, ZL;HOU, WG;HU, B;GUO, PX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AUTOM SCI ENG 15 (4): 1494-1506 OCT 2018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第13-14期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 COMPREHENSIVE REVIEW OF LOSSY MODE RESONANCE-BASED FIBER OPTIC SENSORS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WANG, Q;ZHAO, WM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OPT LASER ENG 100: 47-60 JAN 2018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第13-14期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ONE-STEP SYNTHESIS OF AU/SNO2/RGO NANOCOMPOSITES AND THEIR VOC SENSING PROPERTIES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MENG, FL;ZHENG, HX;CHANG, YL;ZHAO, Y;LI, MQ;WANG, C;SUN, YF;LIU, JH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NANOTECHNOL 17 (2): 212-219 MAR 2018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第13-14期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SWITCHED ADAPTIVE FUZZY TRACKING CONTROL FOR A CLASS OF SWITCHED NONLINEAR SYSTEMS UNDER ARBITRARY SWITCHING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ZHAI, D;AN, LW;DONG, JX;ZHANG, QL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FUZZY SYST 26 (2): 585-597 APR 2018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第10-14期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SMALL IN-FIBER FABRY-PEROT LOW-FREQUENCY ACOUSTIC PRESSURE SENSOR WITH PDMS DIAPHRAGM EMBEDDED IN HOLLOW-CORE FIBER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ZHAO, Y;CHEN, MQ;XIA, F;LV, RQ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SENSOR ACTUATOR A-PHYS 270: 162-169 FEB 1 2018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第10-14期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FAULT-TOLERANT CONTROLLER DESIGN FOR GENERAL POLYNOMIAL-FUZZY-MODEL-BASED SYSTEMS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YE, D;DIAO, NN;ZHAO, XG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FUZZY SYST 26 (2): 1046-1051 APR 2018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第12-14期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REMAINING USEFUL LIFE ESTIMATION IN PROGNOSTICS USING DEEP CONVOLUTION NEURAL NETWORKS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LI, X;DING, Q;SUN, JQ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RELIAB ENG SYST SAFETY 172: 1-11 APR 2018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NONLINEAR DYNAMICS OF A TRANSLATIONAL FGM PLATE WITH STRONG MODE INTERACTION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WANG, YQ;ZU, JW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INT J STRUCT STAB DYN 18 (3): - MAR 2018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ELECTRO-MECHANICAL VIBRATION ANALYSIS OF FUNCTIONALLY GRADED PIEZOELECTRIC POROUS PLATES IN THE TRANSLATION STATE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WANG, YQ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ACTA ASTRONAUT 143: 263-271 FEB 2018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EXPERIMENTAL INVESTIGATIONS INTO GRINDING CHARACTERISTICS OF HIGH ENTROPY ALLOYS (HEAS) USING MICRO GRINDING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LIU, Y;GONG, YD;ZHANG, H;SUN, Y;CAI, M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INT J ADV MANUF TECHNOL 96 (9-12): 4477-4499 JUN 2018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EVENT-TRIGGERED FAULT DETECTION FILTER DESIGN FOR NONLINEAR NETWORKED SYSTEMS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PAN, YN;YANG, GH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IEEE TRANS SYST MAN CYBERN-SY 48 (11): 1851-1862 NOV 2018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ACCELERATED CORROSION OF 2304 DUPLEX STAINLESS STEEL BY MARINE PSEUDOMONAS AERUGINOSA BIOFILM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ZHOU, EZ;LI, HB;YANG, CT;WANG, JJ;XU, DK;ZHANG, DW;GU, TY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INT BIODETERIOR BIODEGRAD 127: 1-9 FEB 2018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环境/生态学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第13-14期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 CRITICAL REVIEW ON SOLVENT EXTRACTION OF RARE EARTHS FROM AQUEOUS SOLUTIONS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XIE, F;ZHANG, TA;DREISINGER, D;DOYLE, F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MINER ENG 56: 10-28 FEB 2014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地球科学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2014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THE INFLUENCE OF FRACTURING FLUIDS ON FRACTURING PROCESSES: A COMPARISON BETWEEN WATER, OIL AND SC-CO2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WANG, JH;ELSWORTH, D;WU, Y;LIU, JS;ZHU, W;LIU, Y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ROCK MECH ROCK ENG 51 (1): 299-313 JAN 2018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地球科学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第13-14期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IMMUNOLABELING AND NIR-EXCITED FLUORESCENT IMAGING OF HELA CELLS BY USING NAYF4:YB,ER UPCONVERSION NANOPARTICLES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WANG, M;MI, CC;WANG, WX;LIU, CH;WU, YF;XU, ZR;MAO, CB;XU, SK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ACS NANO 3 (6): 1580-1586 JUN 2009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材料科学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367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2009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CARBON MATERIALS FOR CHEMICAL CAPACITIVE ENERGY STORAGE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ZHAI, YP;DOU, YQ;ZHAO, DY;FULVIO, PF;MAYES, RT;DAI, S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ADVAN MATER 23 (42): 4828-4850 NOV 9 2011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材料科学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1422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2011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GRAPHENE/POLYANILINE NANOROD ARRAYS: SYNTHESIS AND EXCELLENT ELECTROMAGNETIC ABSORPTION PROPERTIES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YU, HL;WANG, TS;WEN, B;LU, MM;XU, Z;ZHU, CL;CHEN, YJ;XUE, XY;SUN, CW;CAO, MS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J MATER CHEM 22 (40): 21679-21685 OCT 28 2012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材料科学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245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2012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COMPARISON OF THE MICROSTRUCTURES AND MECHANICAL PROPERTIES OF TI-6AL-4V FABRICATED BY SELECTIVE LASER MELTING AND ELECTRON BEAM MELTING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ZHAO, XL;LI, SJ;ZHANG, M;LIU, YD;SERCOMBE, TB;WANG, SG;HAO, YL;YANG, R;MURR, LE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MATER DESIGN 95: 21-31 APR 5 2016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材料科学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2016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第1-3期、第6期、第11期、第14期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MORPHOLOGY AND DOPING ENGINEERING OF SN-DOPED HEMATITE NANOWIRE PHOTOANODES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LI, MY;YANG, Y;LING, YC;QIU, WT;WANG, FX;LIU, TY;SONG, Y;LIU, XX;FANG, PP;TONG, YX;LI, Y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NANO LETT 17 (4): 2490-2495 APR 2017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材料科学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第10-12期、第14期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EFFECTS OF BIOGENIC H2S ON THE MICROBIOLOGICALLY INFLUENCED CORROSION OF C1018 CARBON STEEL BY SULFATE REDUCING DESULFOVIBRIO VULGARIS BIOFILM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JIA, R;TAN, JL;JIN, P;BLACKWOOD, DJ;XU, DK;GU, TY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CORROS SCI 130: 1-11 JAN 2018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材料科学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第12-14期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ANAEROBIC MICROBIOLOGICALLY INFLUENCED CORROSION MECHANISMS INTERPRETED USING BIOENERGETICS AND BIOELECTROCHEMISTRY: A REVIEW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LI, YC;XU, DK;CHEN, CF;LI, XG;JIA, R;ZHANG, DW;SAND, W;WANG, FH;GU, TY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J MATER SCI TECHNOL 34 (10): 1713-1718 OCT 2018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材料科学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第13-14期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DESIGNING FOR THE CHEMICAL CONVERSION COATING WITH HIGH CORROSION RESISTANCE AND LOW ELECTRICAL CONTACT RESISTANCE ON AZ91D MAGNESIUM ALLOY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DUAN, GQ;YANG, LX;LIAO, SJ;ZHANG, CY;LU, XP;YANG, YE;ZHANG, B;WEI, Y;ZHANG, T;YU, BX;ZHANG, XC;WANG, FH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CORROS SCI 135: 197-206 MAY 1 2018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材料科学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第13-14期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WHAT IS GOING ON IN MAGNESIUM ALLOYS?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WANG, XJ;XU, DK;WU, RZ;CHEN, XB;PENG, QM;JIN, L;XIN, YC;ZHANG, ZQ;LIU, Y;CHEN, XH;CHEN, G;DENG, KK;WANG, HY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J MATER SCI TECHNOL 34 (2): 245-247 FEB 2018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材料科学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第10-14期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ACHIEVEMENT OF A TABLE-LIKE MAGNETOCALORIC EFFECT IN THE DUAL-PHASE ERZN2/ERZN COMPOSITE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LI, LW;YUAN, Y;QI, Y;WANG, Q;ZHOU, SQ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MATER RES LETT 6 (1): 67-71 2018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材料科学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第10-14期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LARGE REVERSIBLE NORMAL AND INVERSE MAGNETO-CALORIC EFFECTS IN THE RE2BACUO5 (RE = DY AND ER) COMPOUNDS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LI, LW;SU, KP;HUO, DX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J ALLOYS COMPOUNDS 735: 773-776 FEB 25 2018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材料科学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MAGNETIC PROPERTIES AND LARGE MAGNETIC ENTROPY CHANGE IN RARE EARTH-RICH CADMIUM COMPOUNDS OF RE4COCD (RE = TM AND HO)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LI, LW;HUO, DX;SU, KP;POTTGEN, R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INTERMETALLICS 93: 343-346 FEB 2018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材料科学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第10-14期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SHORT-RANGE ORDER IN MESOPOROUS CARBON BOOSTS POTASSIUM-ION BATTERY PERFORMANCE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WANG, W;ZHOU, JH;WANG, ZP;ZHAO, LY;LI, PH;YANG, Y;YANG, C;HUANG, HX;GUO, SJ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ADV ENERGY MATER 8 (5): - FEB 15 2018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材料科学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第12-14期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THE NORMAL PARAMETER REDUCTION OF SOFT SETS AND ITS ALGORITHM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KONG, Z;GAO, LQ;WANG, LF;LI, S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COMPUT MATH APPL 56 (12): 3029-3037 DEC 2008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2008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COMMENT ON A FUZZY SOFT SET THEORETIC APPROACH TO DECISION MAKING PROBLEMS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KONG, Z;GAO, LQ;WANG, LF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J COMPUT APPL MATH 223 (2): 540-542 JAN 15 2009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2009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第1-2期、第6-14期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ROBUST DECENTRALIZED ADAPTIVE SYNCHRONIZATION OF GENERAL COMPLEX NETWORKS WITH COUPLING DELAYED AND UNCERTAINTIES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HE, P;JING, CG;FAN, T;CHEN, CZ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COMPLEXITY 19 (3): 10-26 JAN 2014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2014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MULTISTABILITY OF COMPLEX-VALUED RECURRENT NEURAL NETWORKS WITH REAL-IMAGINARY-TYPE ACTIVATION FUNCTIONS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HUANG, YJ;ZHANG, HG;WANG, ZS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APPL MATH COMPUT 229: 187-200 FEB 25 2014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2014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第8-14期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ROBUST ADAPTIVE SYNCHRONIZATION OF UNCERTAIN COMPLEX NETWORKS WITH MULTIPLE TIME-VARYING COUPLED DELAYS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ZHAO, YP;HE, P;NIK, HS;REN, JC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COMPLEXITY 20 (6): 62-73 JUL-AUG 2015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第3-14期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FINITE-TIME H-INFINITY CONTROL FOR A CLASS OF DISCRETE-TIME SWITCHED SINGULAR TIME-DELAY SYSTEMS SUBJECT TO ACTUATOR SATURATION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MA, YC;FU, L;JING, YH;ZHANG, QL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APPL MATH COMPUT 261: 264-283 JUN 15 2015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第5-14期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STATE FEEDBACK CONTROLLER DESIGN FOR SINGULAR POSITIVE MARKOVIAN JUMP SYSTEMS WITH PARTLY KNOWN TRANSITION RATES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QI, WH;GAO, XW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APPL MATH LETT 46: 111-116 AUG 2015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第2-14期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 SOCIAL NETWORK MODEL WITH PROXIMITY PRESTIGE PROPERTY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ZHAO, YL;YU, H;ZHANG, W;ZHANG, WH;ZHU, ZL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J APPL ANAL COMPUT 5 (2): 177-188 MAY 2015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第12期、第14期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SIMULTANEOUS FAULT DETECTION AND CONTROL FOR SWITCHED LINEAR SYSTEMS WITH MODE-DEPENDENT AVERAGE DWELL-TIME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ZHAI, D;LU, AY;LI, JH;ZHANG, QL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APPL MATH COMPUT 273: 767-792 JAN 15 2016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2016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第4-14期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ANTI-WINDUP DESIGN FOR STOCHASTIC MARKOVIAN SWITCHING SYSTEMS WITH MODE-DEPENDENT TIME-VARYING DELAYS AND SATURATION NONLINEARITY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QI, WH;PARK, JH;CHENG, J;KAO, YG;GAO, XW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NONLINEAR ANAL-HYBRID SYST 26: 201-211 NOV 2017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第10-14期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CONTROLLER DESIGN FOR TIME-DELAY SYSTEM WITH STOCHASTIC DISTURBANCE AND ACTUATOR SATURATION VIA A NEW CRITERION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QI, WH;KAO, YG;GAO, XW;WEI, YL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APPL MATH COMPUT 320: 535-546 MAR 1 2018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第12-14期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DIRECT EVIDENCE OF PARKINSON PATHOLOGY SPREAD FROM THE GASTROINTESTINAL TRACT TO THE BRAIN IN RATS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HOLMQVIST, S;CHUTNA, O;BOUSSET, L;ALDRIN-KIRK, P;LI, W;BJORKLUND, T;WANG, ZY;ROYBON, L;MELKI, R;LI, JY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ACTA NEUROPATHOL 128 (6): 805-820 DEC 2014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神经科学与行为学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2014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HIGH ENERGY DENSITY ASYMMETRIC SUPERCAPACITORS WITH A NICKEL OXIDE NANOFLAKE CATHODE AND A 3D REDUCED GRAPHENE OXIDE ANODE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LUAN, F;WANG, GM;LING, YC;LU, XH;WANG, HY;TONG, YX;LIU, XX;LI, Y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NANOSCALE 5 (17): 7984-7990 2013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物理学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2013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BREATHER TRANSITION DYNAMICS, PEREGRINE COMBS AND WALLS, AND MODULATION INSTABILITY IN A VARIABLE-COEFFICIENT NONLINEAR SCHRODINGER EQUATION WITH HIGHER-ORDER EFFECTS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WANG, L;ZHANG, JH;LIU, C;LI, M;QI, FH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PHYS REV E 93 (6): - JUN 16 2016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物理学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2016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第5-14期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REVIEW OF MAGNETIC PROPERTIES AND MAGNETOCALORIC EFFECT IN THE INTERMETALLIC COMPOUNDS OF RARE EARTH WITH LOW BOILING POINT METALS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LI, LW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CHIN PHYS B 25 (3): - MAR 2016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物理学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2016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第2-14期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SHIELDING PROPERTIES OF 80TEO(2)-5TIO(2)-(15-X) WO3-XA(N)O(M) GLASSES USING WINXCOM AND MCNP5 CODE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DONG, MG;EL-MALLAWANY, R;SAYYED, MI;TEKIN, HO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RADIAT PHYS CHEM 141: 172-178 DEC 2017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物理学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4678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EXPLORATION OF GAMMA RADIATION SHIELDING FEATURES FOR TITANATE BISMUTH BOROTELLURITE GLASSES USING RELEVANT SOFTWARE PROGRAM AND MONTE CARLO SIMULATION CODE</w:t>
            </w:r>
          </w:p>
        </w:tc>
        <w:tc>
          <w:tcPr>
            <w:tcW w:w="269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LAKSHMINARAYANA, G;KUMAR, A;DONG, MG;SAYYED, MI;LONG, NV;MANDI, MA</w:t>
            </w:r>
          </w:p>
        </w:tc>
        <w:tc>
          <w:tcPr>
            <w:tcW w:w="2553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J NON-CRYST SOLIDS 481: 65-73 FEB 1 2018</w:t>
            </w:r>
          </w:p>
        </w:tc>
        <w:tc>
          <w:tcPr>
            <w:tcW w:w="1842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物理学</w:t>
            </w:r>
          </w:p>
        </w:tc>
        <w:tc>
          <w:tcPr>
            <w:tcW w:w="70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第13-14期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70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 w:val="0"/>
                <w:bCs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4678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INVESTIGATION ON GAMMA AND NEUTRON RADIATION SHIELDING PARAMETERS FOR BAO/SRO-BI2O3-B2O3 GLASSES</w:t>
            </w:r>
          </w:p>
        </w:tc>
        <w:tc>
          <w:tcPr>
            <w:tcW w:w="2694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SAYYED, MI;LAKSHMINARAYANA, G;DOUG, MG;ERSUNDU, MC;ERSUNDU, AE;KITYK, IV</w:t>
            </w:r>
          </w:p>
        </w:tc>
        <w:tc>
          <w:tcPr>
            <w:tcW w:w="2553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RADIAT PHYS CHEM 145: 26-33 APR 2018</w:t>
            </w:r>
          </w:p>
        </w:tc>
        <w:tc>
          <w:tcPr>
            <w:tcW w:w="1842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物理学</w:t>
            </w:r>
          </w:p>
        </w:tc>
        <w:tc>
          <w:tcPr>
            <w:tcW w:w="70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36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2018</w:t>
            </w:r>
          </w:p>
        </w:tc>
        <w:tc>
          <w:tcPr>
            <w:tcW w:w="1381" w:type="dxa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第13-14期</w:t>
            </w:r>
          </w:p>
        </w:tc>
      </w:tr>
    </w:tbl>
    <w:p>
      <w:pPr>
        <w:widowControl/>
        <w:jc w:val="left"/>
        <w:rPr>
          <w:rFonts w:ascii="微软雅黑" w:hAnsi="微软雅黑" w:eastAsia="微软雅黑" w:cs="Times New Roman"/>
          <w:b/>
          <w:color w:val="000000"/>
          <w:kern w:val="0"/>
          <w:sz w:val="24"/>
          <w:szCs w:val="24"/>
        </w:rPr>
      </w:pPr>
    </w:p>
    <w:p>
      <w:pPr>
        <w:widowControl/>
        <w:jc w:val="left"/>
        <w:rPr>
          <w:rFonts w:ascii="微软雅黑" w:hAnsi="微软雅黑" w:eastAsia="微软雅黑" w:cs="宋体"/>
          <w:kern w:val="0"/>
          <w:sz w:val="24"/>
          <w:szCs w:val="24"/>
        </w:rPr>
        <w:sectPr>
          <w:pgSz w:w="16838" w:h="11906" w:orient="landscape"/>
          <w:pgMar w:top="567" w:right="567" w:bottom="567" w:left="567" w:header="851" w:footer="992" w:gutter="0"/>
          <w:cols w:space="425" w:num="1"/>
          <w:docGrid w:type="lines" w:linePitch="312" w:charSpace="0"/>
        </w:sectPr>
      </w:pPr>
      <w:r>
        <w:rPr>
          <w:rFonts w:hint="eastAsia" w:ascii="微软雅黑" w:hAnsi="微软雅黑" w:eastAsia="微软雅黑" w:cs="Times New Roman"/>
          <w:b/>
          <w:color w:val="000000"/>
          <w:kern w:val="0"/>
          <w:sz w:val="24"/>
          <w:szCs w:val="24"/>
        </w:rPr>
        <w:t>说明</w:t>
      </w:r>
      <w:r>
        <w:rPr>
          <w:rFonts w:ascii="微软雅黑" w:hAnsi="微软雅黑" w:eastAsia="微软雅黑" w:cs="Times New Roman"/>
          <w:b/>
          <w:color w:val="000000"/>
          <w:kern w:val="0"/>
          <w:sz w:val="24"/>
          <w:szCs w:val="24"/>
        </w:rPr>
        <w:t>：</w:t>
      </w:r>
      <w:r>
        <w:rPr>
          <w:rFonts w:ascii="微软雅黑" w:hAnsi="微软雅黑" w:eastAsia="微软雅黑" w:cs="宋体"/>
          <w:kern w:val="0"/>
          <w:sz w:val="24"/>
          <w:szCs w:val="24"/>
        </w:rPr>
        <w:t>表格中ESI周期表示高被引论文所在的更新周期，其中第1期更新</w:t>
      </w:r>
      <w:r>
        <w:rPr>
          <w:rFonts w:hint="eastAsia" w:ascii="微软雅黑" w:hAnsi="微软雅黑" w:eastAsia="微软雅黑" w:cs="宋体"/>
          <w:kern w:val="0"/>
          <w:sz w:val="24"/>
          <w:szCs w:val="24"/>
        </w:rPr>
        <w:t>时间</w:t>
      </w:r>
      <w:r>
        <w:rPr>
          <w:rFonts w:ascii="微软雅黑" w:hAnsi="微软雅黑" w:eastAsia="微软雅黑" w:cs="宋体"/>
          <w:kern w:val="0"/>
          <w:sz w:val="24"/>
          <w:szCs w:val="24"/>
        </w:rPr>
        <w:t>为2016年11月，第2期为2017年1月，第3期为2017年3月，第4期为2017年5月，第5期为2017年7月，第6期为2017年11月，第7期为2018年1月，第8期为2018年3月，第9期为2018年5月，第10期为2018年7月</w:t>
      </w:r>
      <w:r>
        <w:rPr>
          <w:rFonts w:hint="eastAsia" w:ascii="微软雅黑" w:hAnsi="微软雅黑" w:eastAsia="微软雅黑" w:cs="宋体"/>
          <w:kern w:val="0"/>
          <w:sz w:val="24"/>
          <w:szCs w:val="24"/>
        </w:rPr>
        <w:t>，</w:t>
      </w:r>
      <w:r>
        <w:rPr>
          <w:rFonts w:ascii="微软雅黑" w:hAnsi="微软雅黑" w:eastAsia="微软雅黑" w:cs="宋体"/>
          <w:kern w:val="0"/>
          <w:sz w:val="24"/>
          <w:szCs w:val="24"/>
        </w:rPr>
        <w:t>第</w:t>
      </w:r>
      <w:r>
        <w:rPr>
          <w:rFonts w:hint="eastAsia" w:ascii="微软雅黑" w:hAnsi="微软雅黑" w:eastAsia="微软雅黑" w:cs="宋体"/>
          <w:kern w:val="0"/>
          <w:sz w:val="24"/>
          <w:szCs w:val="24"/>
        </w:rPr>
        <w:t>11期</w:t>
      </w:r>
      <w:r>
        <w:rPr>
          <w:rFonts w:ascii="微软雅黑" w:hAnsi="微软雅黑" w:eastAsia="微软雅黑" w:cs="宋体"/>
          <w:kern w:val="0"/>
          <w:sz w:val="24"/>
          <w:szCs w:val="24"/>
        </w:rPr>
        <w:t>为</w:t>
      </w:r>
      <w:r>
        <w:rPr>
          <w:rFonts w:hint="eastAsia" w:ascii="微软雅黑" w:hAnsi="微软雅黑" w:eastAsia="微软雅黑" w:cs="宋体"/>
          <w:kern w:val="0"/>
          <w:sz w:val="24"/>
          <w:szCs w:val="24"/>
        </w:rPr>
        <w:t>2018年9月，</w:t>
      </w:r>
      <w:r>
        <w:rPr>
          <w:rFonts w:ascii="微软雅黑" w:hAnsi="微软雅黑" w:eastAsia="微软雅黑" w:cs="宋体"/>
          <w:kern w:val="0"/>
          <w:sz w:val="24"/>
          <w:szCs w:val="24"/>
        </w:rPr>
        <w:t>第</w:t>
      </w:r>
      <w:r>
        <w:rPr>
          <w:rFonts w:hint="eastAsia" w:ascii="微软雅黑" w:hAnsi="微软雅黑" w:eastAsia="微软雅黑" w:cs="宋体"/>
          <w:kern w:val="0"/>
          <w:sz w:val="24"/>
          <w:szCs w:val="24"/>
        </w:rPr>
        <w:t>1</w:t>
      </w:r>
      <w:r>
        <w:rPr>
          <w:rFonts w:ascii="微软雅黑" w:hAnsi="微软雅黑" w:eastAsia="微软雅黑" w:cs="宋体"/>
          <w:kern w:val="0"/>
          <w:sz w:val="24"/>
          <w:szCs w:val="24"/>
        </w:rPr>
        <w:t>2</w:t>
      </w:r>
      <w:r>
        <w:rPr>
          <w:rFonts w:hint="eastAsia" w:ascii="微软雅黑" w:hAnsi="微软雅黑" w:eastAsia="微软雅黑" w:cs="宋体"/>
          <w:kern w:val="0"/>
          <w:sz w:val="24"/>
          <w:szCs w:val="24"/>
        </w:rPr>
        <w:t>期</w:t>
      </w:r>
      <w:r>
        <w:rPr>
          <w:rFonts w:ascii="微软雅黑" w:hAnsi="微软雅黑" w:eastAsia="微软雅黑" w:cs="宋体"/>
          <w:kern w:val="0"/>
          <w:sz w:val="24"/>
          <w:szCs w:val="24"/>
        </w:rPr>
        <w:t>为</w:t>
      </w:r>
      <w:r>
        <w:rPr>
          <w:rFonts w:hint="eastAsia" w:ascii="微软雅黑" w:hAnsi="微软雅黑" w:eastAsia="微软雅黑" w:cs="宋体"/>
          <w:kern w:val="0"/>
          <w:sz w:val="24"/>
          <w:szCs w:val="24"/>
        </w:rPr>
        <w:t>2018年</w:t>
      </w:r>
      <w:r>
        <w:rPr>
          <w:rFonts w:ascii="微软雅黑" w:hAnsi="微软雅黑" w:eastAsia="微软雅黑" w:cs="宋体"/>
          <w:kern w:val="0"/>
          <w:sz w:val="24"/>
          <w:szCs w:val="24"/>
        </w:rPr>
        <w:t>11</w:t>
      </w:r>
      <w:r>
        <w:rPr>
          <w:rFonts w:hint="eastAsia" w:ascii="微软雅黑" w:hAnsi="微软雅黑" w:eastAsia="微软雅黑" w:cs="宋体"/>
          <w:kern w:val="0"/>
          <w:sz w:val="24"/>
          <w:szCs w:val="24"/>
        </w:rPr>
        <w:t>月，第1</w:t>
      </w:r>
      <w:r>
        <w:rPr>
          <w:rFonts w:ascii="微软雅黑" w:hAnsi="微软雅黑" w:eastAsia="微软雅黑" w:cs="宋体"/>
          <w:kern w:val="0"/>
          <w:sz w:val="24"/>
          <w:szCs w:val="24"/>
        </w:rPr>
        <w:t>3</w:t>
      </w:r>
      <w:r>
        <w:rPr>
          <w:rFonts w:hint="eastAsia" w:ascii="微软雅黑" w:hAnsi="微软雅黑" w:eastAsia="微软雅黑" w:cs="宋体"/>
          <w:kern w:val="0"/>
          <w:sz w:val="24"/>
          <w:szCs w:val="24"/>
        </w:rPr>
        <w:t>期为2</w:t>
      </w:r>
      <w:r>
        <w:rPr>
          <w:rFonts w:ascii="微软雅黑" w:hAnsi="微软雅黑" w:eastAsia="微软雅黑" w:cs="宋体"/>
          <w:kern w:val="0"/>
          <w:sz w:val="24"/>
          <w:szCs w:val="24"/>
        </w:rPr>
        <w:t>019</w:t>
      </w:r>
      <w:r>
        <w:rPr>
          <w:rFonts w:hint="eastAsia" w:ascii="微软雅黑" w:hAnsi="微软雅黑" w:eastAsia="微软雅黑" w:cs="宋体"/>
          <w:kern w:val="0"/>
          <w:sz w:val="24"/>
          <w:szCs w:val="24"/>
        </w:rPr>
        <w:t>年1月，第1</w:t>
      </w:r>
      <w:r>
        <w:rPr>
          <w:rFonts w:ascii="微软雅黑" w:hAnsi="微软雅黑" w:eastAsia="微软雅黑" w:cs="宋体"/>
          <w:kern w:val="0"/>
          <w:sz w:val="24"/>
          <w:szCs w:val="24"/>
        </w:rPr>
        <w:t>4</w:t>
      </w:r>
      <w:r>
        <w:rPr>
          <w:rFonts w:hint="eastAsia" w:ascii="微软雅黑" w:hAnsi="微软雅黑" w:eastAsia="微软雅黑" w:cs="宋体"/>
          <w:kern w:val="0"/>
          <w:sz w:val="24"/>
          <w:szCs w:val="24"/>
        </w:rPr>
        <w:t>期为2</w:t>
      </w:r>
      <w:r>
        <w:rPr>
          <w:rFonts w:ascii="微软雅黑" w:hAnsi="微软雅黑" w:eastAsia="微软雅黑" w:cs="宋体"/>
          <w:kern w:val="0"/>
          <w:sz w:val="24"/>
          <w:szCs w:val="24"/>
        </w:rPr>
        <w:t>019</w:t>
      </w:r>
      <w:r>
        <w:rPr>
          <w:rFonts w:hint="eastAsia" w:ascii="微软雅黑" w:hAnsi="微软雅黑" w:eastAsia="微软雅黑" w:cs="宋体"/>
          <w:kern w:val="0"/>
          <w:sz w:val="24"/>
          <w:szCs w:val="24"/>
        </w:rPr>
        <w:t>年3月</w:t>
      </w:r>
      <w:r>
        <w:rPr>
          <w:rFonts w:ascii="微软雅黑" w:hAnsi="微软雅黑" w:eastAsia="微软雅黑" w:cs="宋体"/>
          <w:kern w:val="0"/>
          <w:sz w:val="24"/>
          <w:szCs w:val="24"/>
        </w:rPr>
        <w:t>。</w:t>
      </w:r>
    </w:p>
    <w:p>
      <w:pPr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  <w:highlight w:val="cyan"/>
        </w:rPr>
        <w:t>本期</w:t>
      </w:r>
      <w:r>
        <w:rPr>
          <w:rFonts w:ascii="微软雅黑" w:hAnsi="微软雅黑" w:eastAsia="微软雅黑"/>
          <w:b/>
          <w:sz w:val="24"/>
          <w:szCs w:val="24"/>
          <w:highlight w:val="cyan"/>
        </w:rPr>
        <w:t>高被引论文阈值</w:t>
      </w:r>
    </w:p>
    <w:tbl>
      <w:tblPr>
        <w:tblStyle w:val="27"/>
        <w:tblW w:w="15730" w:type="dxa"/>
        <w:tblInd w:w="0" w:type="dxa"/>
        <w:tblBorders>
          <w:top w:val="single" w:color="8EAADB" w:themeColor="accent1" w:themeTint="99" w:sz="4" w:space="0"/>
          <w:left w:val="single" w:color="8EAADB" w:themeColor="accent1" w:themeTint="99" w:sz="4" w:space="0"/>
          <w:bottom w:val="single" w:color="8EAADB" w:themeColor="accent1" w:themeTint="99" w:sz="4" w:space="0"/>
          <w:right w:val="single" w:color="8EAADB" w:themeColor="accent1" w:themeTint="99" w:sz="4" w:space="0"/>
          <w:insideH w:val="single" w:color="8EAADB" w:themeColor="accent1" w:themeTint="99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0"/>
        <w:gridCol w:w="1134"/>
        <w:gridCol w:w="1134"/>
        <w:gridCol w:w="1276"/>
        <w:gridCol w:w="1134"/>
        <w:gridCol w:w="1134"/>
        <w:gridCol w:w="1134"/>
        <w:gridCol w:w="1276"/>
        <w:gridCol w:w="1134"/>
        <w:gridCol w:w="1134"/>
        <w:gridCol w:w="1276"/>
        <w:gridCol w:w="1134"/>
      </w:tblGrid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830" w:type="dxa"/>
            <w:tcBorders>
              <w:top w:val="single" w:color="4472C4" w:themeColor="accent1" w:sz="4" w:space="0"/>
              <w:left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研究领域</w:t>
            </w:r>
          </w:p>
        </w:tc>
        <w:tc>
          <w:tcPr>
            <w:tcW w:w="1134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2008</w:t>
            </w:r>
          </w:p>
        </w:tc>
        <w:tc>
          <w:tcPr>
            <w:tcW w:w="1134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2009</w:t>
            </w:r>
          </w:p>
        </w:tc>
        <w:tc>
          <w:tcPr>
            <w:tcW w:w="127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2010</w:t>
            </w:r>
          </w:p>
        </w:tc>
        <w:tc>
          <w:tcPr>
            <w:tcW w:w="1134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2011</w:t>
            </w:r>
          </w:p>
        </w:tc>
        <w:tc>
          <w:tcPr>
            <w:tcW w:w="1134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2012</w:t>
            </w:r>
          </w:p>
        </w:tc>
        <w:tc>
          <w:tcPr>
            <w:tcW w:w="1134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2013</w:t>
            </w:r>
          </w:p>
        </w:tc>
        <w:tc>
          <w:tcPr>
            <w:tcW w:w="127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2014</w:t>
            </w:r>
          </w:p>
        </w:tc>
        <w:tc>
          <w:tcPr>
            <w:tcW w:w="1134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2015</w:t>
            </w:r>
          </w:p>
        </w:tc>
        <w:tc>
          <w:tcPr>
            <w:tcW w:w="1134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2016</w:t>
            </w:r>
          </w:p>
        </w:tc>
        <w:tc>
          <w:tcPr>
            <w:tcW w:w="1276" w:type="dxa"/>
            <w:tcBorders>
              <w:top w:val="single" w:color="4472C4" w:themeColor="accent1" w:sz="4" w:space="0"/>
              <w:bottom w:val="single" w:color="4472C4" w:themeColor="accent1" w:sz="4" w:space="0"/>
              <w:insideH w:val="single" w:sz="4" w:space="0"/>
            </w:tcBorders>
            <w:shd w:val="clear" w:color="auto" w:fill="4472C4" w:themeFill="accent1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2017</w:t>
            </w:r>
          </w:p>
        </w:tc>
        <w:tc>
          <w:tcPr>
            <w:tcW w:w="1134" w:type="dxa"/>
            <w:tcBorders>
              <w:top w:val="single" w:color="4472C4" w:themeColor="accent1" w:sz="4" w:space="0"/>
              <w:bottom w:val="single" w:color="4472C4" w:themeColor="accent1" w:sz="4" w:space="0"/>
              <w:right w:val="single" w:color="4472C4" w:themeColor="accent1" w:sz="4" w:space="0"/>
              <w:insideH w:val="single" w:sz="4" w:space="0"/>
            </w:tcBorders>
            <w:shd w:val="clear" w:color="auto" w:fill="4472C4" w:themeFill="accent1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FFFFFF" w:themeColor="background1"/>
                <w:kern w:val="0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2018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830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  <w:t>农业科学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830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  <w:t>生物学与生物化学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272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249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221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830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  <w:t>化学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218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205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197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830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205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186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830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  <w:t>计算机科学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830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  <w:t>经济学和商业学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830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  <w:t>工程学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830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  <w:t>环境/生态学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251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221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199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830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  <w:t>地球科学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830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  <w:t>免疫学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337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309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270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222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830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  <w:t>材料科学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228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235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249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211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198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830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830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  <w:t>微生物学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830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  <w:t>分子生物学与遗传学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501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453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406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351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291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234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182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830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  <w:t>多学科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486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388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523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342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226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229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830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  <w:t>神经科学与行为学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290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265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192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830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  <w:t>药理学与毒理学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211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830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  <w:t>物理学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830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  <w:t>植物与动物科学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830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  <w:t>精神病学/心理学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233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208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830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  <w:t>一般社会科学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276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D9E2F3" w:themeFill="accent1" w:themeFillTint="33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8EAADB" w:themeColor="accent1" w:themeTint="99" w:sz="4" w:space="0"/>
            <w:left w:val="single" w:color="8EAADB" w:themeColor="accent1" w:themeTint="99" w:sz="4" w:space="0"/>
            <w:bottom w:val="single" w:color="8EAADB" w:themeColor="accent1" w:themeTint="99" w:sz="4" w:space="0"/>
            <w:right w:val="single" w:color="8EAADB" w:themeColor="accent1" w:themeTint="99" w:sz="4" w:space="0"/>
            <w:insideH w:val="single" w:color="8EAADB" w:themeColor="accent1" w:themeTint="99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2830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 w:val="0"/>
                <w:bCs/>
                <w:color w:val="000000"/>
                <w:kern w:val="0"/>
                <w:sz w:val="24"/>
                <w:szCs w:val="24"/>
              </w:rPr>
              <w:t>空间科学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245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246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216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195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14</w:t>
            </w:r>
          </w:p>
        </w:tc>
      </w:tr>
    </w:tbl>
    <w:p>
      <w:pPr>
        <w:snapToGrid w:val="0"/>
        <w:spacing w:line="300" w:lineRule="auto"/>
        <w:ind w:firstLine="480" w:firstLineChars="200"/>
        <w:rPr>
          <w:rFonts w:ascii="微软雅黑" w:hAnsi="微软雅黑" w:eastAsia="微软雅黑"/>
          <w:sz w:val="24"/>
          <w:szCs w:val="24"/>
        </w:rPr>
      </w:pPr>
    </w:p>
    <w:p>
      <w:pPr>
        <w:snapToGrid w:val="0"/>
        <w:spacing w:line="300" w:lineRule="auto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高被引论文阈值是指</w:t>
      </w:r>
      <w:r>
        <w:rPr>
          <w:rFonts w:ascii="微软雅黑" w:hAnsi="微软雅黑" w:eastAsia="微软雅黑"/>
          <w:sz w:val="24"/>
          <w:szCs w:val="24"/>
        </w:rPr>
        <w:t>近十年，某一ESI学科</w:t>
      </w:r>
      <w:r>
        <w:rPr>
          <w:rFonts w:hint="eastAsia" w:ascii="微软雅黑" w:hAnsi="微软雅黑" w:eastAsia="微软雅黑"/>
          <w:sz w:val="24"/>
          <w:szCs w:val="24"/>
        </w:rPr>
        <w:t>某一出版年</w:t>
      </w:r>
      <w:r>
        <w:rPr>
          <w:rFonts w:ascii="微软雅黑" w:hAnsi="微软雅黑" w:eastAsia="微软雅黑"/>
          <w:sz w:val="24"/>
          <w:szCs w:val="24"/>
        </w:rPr>
        <w:t>被引次数排在前1%的论文的最低被引次数</w:t>
      </w:r>
      <w:r>
        <w:rPr>
          <w:rFonts w:hint="eastAsia" w:ascii="微软雅黑" w:hAnsi="微软雅黑" w:eastAsia="微软雅黑"/>
          <w:sz w:val="24"/>
          <w:szCs w:val="24"/>
        </w:rPr>
        <w:t>，该被引</w:t>
      </w:r>
      <w:r>
        <w:rPr>
          <w:rFonts w:ascii="微软雅黑" w:hAnsi="微软雅黑" w:eastAsia="微软雅黑"/>
          <w:sz w:val="24"/>
          <w:szCs w:val="24"/>
        </w:rPr>
        <w:t>次数</w:t>
      </w:r>
      <w:r>
        <w:rPr>
          <w:rFonts w:hint="eastAsia" w:ascii="微软雅黑" w:hAnsi="微软雅黑" w:eastAsia="微软雅黑"/>
          <w:sz w:val="24"/>
          <w:szCs w:val="24"/>
        </w:rPr>
        <w:t>为被</w:t>
      </w:r>
      <w:r>
        <w:rPr>
          <w:rFonts w:ascii="微软雅黑" w:hAnsi="微软雅黑" w:eastAsia="微软雅黑"/>
          <w:sz w:val="24"/>
          <w:szCs w:val="24"/>
        </w:rPr>
        <w:t>SCIE、SSCI和A&amp;HCI三个库中论文引用的数量</w:t>
      </w:r>
      <w:r>
        <w:rPr>
          <w:rFonts w:hint="eastAsia" w:ascii="微软雅黑" w:hAnsi="微软雅黑" w:eastAsia="微软雅黑"/>
          <w:sz w:val="24"/>
          <w:szCs w:val="24"/>
        </w:rPr>
        <w:t>。</w:t>
      </w:r>
    </w:p>
    <w:p>
      <w:pPr>
        <w:snapToGrid w:val="0"/>
        <w:spacing w:line="300" w:lineRule="auto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想</w:t>
      </w:r>
      <w:r>
        <w:rPr>
          <w:rFonts w:ascii="微软雅黑" w:hAnsi="微软雅黑" w:eastAsia="微软雅黑"/>
          <w:sz w:val="24"/>
          <w:szCs w:val="24"/>
        </w:rPr>
        <w:t>了解</w:t>
      </w:r>
      <w:r>
        <w:rPr>
          <w:rFonts w:hint="eastAsia" w:ascii="微软雅黑" w:hAnsi="微软雅黑" w:eastAsia="微软雅黑"/>
          <w:sz w:val="24"/>
          <w:szCs w:val="24"/>
        </w:rPr>
        <w:t>科研</w:t>
      </w:r>
      <w:r>
        <w:rPr>
          <w:rFonts w:ascii="微软雅黑" w:hAnsi="微软雅黑" w:eastAsia="微软雅黑"/>
          <w:sz w:val="24"/>
          <w:szCs w:val="24"/>
        </w:rPr>
        <w:t>论文</w:t>
      </w:r>
      <w:r>
        <w:rPr>
          <w:rFonts w:hint="eastAsia" w:ascii="微软雅黑" w:hAnsi="微软雅黑" w:eastAsia="微软雅黑"/>
          <w:sz w:val="24"/>
          <w:szCs w:val="24"/>
        </w:rPr>
        <w:t>的ESI学科领域</w:t>
      </w:r>
      <w:r>
        <w:rPr>
          <w:rFonts w:ascii="微软雅黑" w:hAnsi="微软雅黑" w:eastAsia="微软雅黑"/>
          <w:sz w:val="24"/>
          <w:szCs w:val="24"/>
        </w:rPr>
        <w:t>，可通过</w:t>
      </w:r>
      <w:r>
        <w:rPr>
          <w:rFonts w:hint="eastAsia" w:ascii="微软雅黑" w:hAnsi="微软雅黑" w:eastAsia="微软雅黑"/>
          <w:sz w:val="24"/>
          <w:szCs w:val="24"/>
        </w:rPr>
        <w:t>点击</w:t>
      </w:r>
      <w:r>
        <w:rPr>
          <w:rFonts w:ascii="微软雅黑" w:hAnsi="微软雅黑" w:eastAsia="微软雅黑"/>
          <w:sz w:val="24"/>
          <w:szCs w:val="24"/>
        </w:rPr>
        <w:t>网址http://ipscience-help.thomsonreuters.com/incitesLiveESI/ESIGroup/overviewESI/esiJournalsList.html</w:t>
      </w:r>
      <w:r>
        <w:rPr>
          <w:rFonts w:hint="eastAsia" w:ascii="微软雅黑" w:hAnsi="微软雅黑" w:eastAsia="微软雅黑"/>
          <w:sz w:val="24"/>
          <w:szCs w:val="24"/>
        </w:rPr>
        <w:t>中的</w:t>
      </w:r>
      <w:r>
        <w:rPr>
          <w:rFonts w:ascii="微软雅黑" w:hAnsi="微软雅黑" w:eastAsia="微软雅黑" w:cs="Arial"/>
          <w:sz w:val="24"/>
          <w:szCs w:val="24"/>
          <w:shd w:val="clear" w:color="auto" w:fill="FFFFFF"/>
        </w:rPr>
        <w:t>master journal list</w:t>
      </w:r>
      <w:r>
        <w:rPr>
          <w:rFonts w:ascii="微软雅黑" w:hAnsi="微软雅黑" w:eastAsia="微软雅黑"/>
          <w:sz w:val="24"/>
          <w:szCs w:val="24"/>
        </w:rPr>
        <w:t>下载</w:t>
      </w:r>
      <w:r>
        <w:rPr>
          <w:rFonts w:hint="eastAsia" w:ascii="微软雅黑" w:hAnsi="微软雅黑" w:eastAsia="微软雅黑"/>
          <w:sz w:val="24"/>
          <w:szCs w:val="24"/>
        </w:rPr>
        <w:t>ESI期刊</w:t>
      </w:r>
      <w:r>
        <w:rPr>
          <w:rFonts w:ascii="微软雅黑" w:hAnsi="微软雅黑" w:eastAsia="微软雅黑"/>
          <w:sz w:val="24"/>
          <w:szCs w:val="24"/>
        </w:rPr>
        <w:t>列表进行查询</w:t>
      </w:r>
      <w:r>
        <w:rPr>
          <w:rFonts w:hint="eastAsia" w:ascii="微软雅黑" w:hAnsi="微软雅黑" w:eastAsia="微软雅黑"/>
          <w:sz w:val="24"/>
          <w:szCs w:val="24"/>
        </w:rPr>
        <w:t>。</w:t>
      </w:r>
    </w:p>
    <w:p>
      <w:pPr>
        <w:snapToGrid w:val="0"/>
        <w:spacing w:line="300" w:lineRule="auto"/>
        <w:ind w:firstLine="480" w:firstLineChars="200"/>
        <w:rPr>
          <w:rFonts w:ascii="微软雅黑" w:hAnsi="微软雅黑" w:eastAsia="微软雅黑"/>
          <w:sz w:val="24"/>
          <w:szCs w:val="24"/>
        </w:rPr>
      </w:pPr>
    </w:p>
    <w:p>
      <w:pPr>
        <w:pStyle w:val="6"/>
        <w:spacing w:before="0" w:beforeAutospacing="0" w:after="0" w:afterAutospacing="0"/>
        <w:rPr>
          <w:rFonts w:ascii="微软雅黑" w:hAnsi="微软雅黑" w:eastAsia="微软雅黑"/>
        </w:rPr>
      </w:pPr>
      <w:r>
        <w:rPr>
          <w:rStyle w:val="11"/>
          <w:rFonts w:ascii="微软雅黑" w:hAnsi="微软雅黑" w:eastAsia="微软雅黑"/>
        </w:rPr>
        <w:t>温馨提示</w:t>
      </w:r>
    </w:p>
    <w:p>
      <w:pPr>
        <w:pStyle w:val="6"/>
        <w:spacing w:before="0" w:beforeAutospacing="0" w:after="0" w:afterAutospacing="0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1、如需要本期高被引论文分析报告详细版本，请与图书馆信息咨询部联系（联系电话：83681001）。</w:t>
      </w:r>
    </w:p>
    <w:p>
      <w:pPr>
        <w:pStyle w:val="6"/>
        <w:spacing w:before="0" w:beforeAutospacing="0" w:after="0" w:afterAutospacing="0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2、ESI数据库每2个月更新一次，更新后上一期数据在数据库中将无法查到。各位老师如有需求，请及时到图书馆开具相应的论文检索证明。</w:t>
      </w:r>
    </w:p>
    <w:sectPr>
      <w:pgSz w:w="16838" w:h="11906" w:orient="landscape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黑体`.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63A"/>
    <w:rsid w:val="00000764"/>
    <w:rsid w:val="000008BC"/>
    <w:rsid w:val="0003411F"/>
    <w:rsid w:val="0003445D"/>
    <w:rsid w:val="00037706"/>
    <w:rsid w:val="00065998"/>
    <w:rsid w:val="0007029C"/>
    <w:rsid w:val="000A7CB6"/>
    <w:rsid w:val="000B77C9"/>
    <w:rsid w:val="000C2C57"/>
    <w:rsid w:val="000D44A1"/>
    <w:rsid w:val="000E162B"/>
    <w:rsid w:val="000F0258"/>
    <w:rsid w:val="000F488A"/>
    <w:rsid w:val="000F4BCE"/>
    <w:rsid w:val="001301F0"/>
    <w:rsid w:val="001801B9"/>
    <w:rsid w:val="001856CA"/>
    <w:rsid w:val="00191A63"/>
    <w:rsid w:val="001B32E2"/>
    <w:rsid w:val="001C674C"/>
    <w:rsid w:val="001D05AF"/>
    <w:rsid w:val="001D769D"/>
    <w:rsid w:val="00245ED0"/>
    <w:rsid w:val="00246637"/>
    <w:rsid w:val="00250796"/>
    <w:rsid w:val="00261D05"/>
    <w:rsid w:val="002A0F11"/>
    <w:rsid w:val="002B17E8"/>
    <w:rsid w:val="002E6889"/>
    <w:rsid w:val="003016F1"/>
    <w:rsid w:val="003717D3"/>
    <w:rsid w:val="003A11B8"/>
    <w:rsid w:val="00402385"/>
    <w:rsid w:val="004305B3"/>
    <w:rsid w:val="0043190F"/>
    <w:rsid w:val="00447A26"/>
    <w:rsid w:val="004610EB"/>
    <w:rsid w:val="004A5288"/>
    <w:rsid w:val="004B3795"/>
    <w:rsid w:val="004F22AB"/>
    <w:rsid w:val="00513CDD"/>
    <w:rsid w:val="005217CB"/>
    <w:rsid w:val="00525752"/>
    <w:rsid w:val="00541E7A"/>
    <w:rsid w:val="00546DC7"/>
    <w:rsid w:val="00557718"/>
    <w:rsid w:val="005A12D7"/>
    <w:rsid w:val="005A183E"/>
    <w:rsid w:val="005B2F4D"/>
    <w:rsid w:val="005B647D"/>
    <w:rsid w:val="005C2C8D"/>
    <w:rsid w:val="005E209A"/>
    <w:rsid w:val="005E4D3B"/>
    <w:rsid w:val="0062063A"/>
    <w:rsid w:val="00620D18"/>
    <w:rsid w:val="00636864"/>
    <w:rsid w:val="00642EEB"/>
    <w:rsid w:val="0064578B"/>
    <w:rsid w:val="0065344A"/>
    <w:rsid w:val="00686076"/>
    <w:rsid w:val="006A1D9E"/>
    <w:rsid w:val="00712BAF"/>
    <w:rsid w:val="00721F56"/>
    <w:rsid w:val="00736A3A"/>
    <w:rsid w:val="00737A0F"/>
    <w:rsid w:val="00737B5B"/>
    <w:rsid w:val="00792CAC"/>
    <w:rsid w:val="007D09F3"/>
    <w:rsid w:val="007D5CFD"/>
    <w:rsid w:val="007E156B"/>
    <w:rsid w:val="00801401"/>
    <w:rsid w:val="00803502"/>
    <w:rsid w:val="008277B8"/>
    <w:rsid w:val="008770A8"/>
    <w:rsid w:val="0088133B"/>
    <w:rsid w:val="008949E8"/>
    <w:rsid w:val="00896259"/>
    <w:rsid w:val="008A3BC8"/>
    <w:rsid w:val="00913299"/>
    <w:rsid w:val="00917770"/>
    <w:rsid w:val="00924424"/>
    <w:rsid w:val="00954F59"/>
    <w:rsid w:val="00956724"/>
    <w:rsid w:val="009C0A15"/>
    <w:rsid w:val="009C5E5B"/>
    <w:rsid w:val="009F1A86"/>
    <w:rsid w:val="00A108CC"/>
    <w:rsid w:val="00A14BB6"/>
    <w:rsid w:val="00A33A0C"/>
    <w:rsid w:val="00A3510B"/>
    <w:rsid w:val="00A355E9"/>
    <w:rsid w:val="00A464BF"/>
    <w:rsid w:val="00A47863"/>
    <w:rsid w:val="00A90C94"/>
    <w:rsid w:val="00AC1351"/>
    <w:rsid w:val="00AC1646"/>
    <w:rsid w:val="00AD5CFD"/>
    <w:rsid w:val="00AE371F"/>
    <w:rsid w:val="00AF76EC"/>
    <w:rsid w:val="00B02DA5"/>
    <w:rsid w:val="00B13E01"/>
    <w:rsid w:val="00B53078"/>
    <w:rsid w:val="00B606ED"/>
    <w:rsid w:val="00B664E3"/>
    <w:rsid w:val="00B7429E"/>
    <w:rsid w:val="00BA78BA"/>
    <w:rsid w:val="00BF3207"/>
    <w:rsid w:val="00BF5C50"/>
    <w:rsid w:val="00C14BD5"/>
    <w:rsid w:val="00C31219"/>
    <w:rsid w:val="00C36DBC"/>
    <w:rsid w:val="00C70753"/>
    <w:rsid w:val="00C96B29"/>
    <w:rsid w:val="00CA3D3F"/>
    <w:rsid w:val="00CB14A2"/>
    <w:rsid w:val="00CE04C4"/>
    <w:rsid w:val="00CF718C"/>
    <w:rsid w:val="00D02405"/>
    <w:rsid w:val="00D02723"/>
    <w:rsid w:val="00D85C0F"/>
    <w:rsid w:val="00D900FA"/>
    <w:rsid w:val="00D9226D"/>
    <w:rsid w:val="00DA4E72"/>
    <w:rsid w:val="00DB3366"/>
    <w:rsid w:val="00DD3C52"/>
    <w:rsid w:val="00E1353C"/>
    <w:rsid w:val="00E44D4F"/>
    <w:rsid w:val="00E912C2"/>
    <w:rsid w:val="00EB02B2"/>
    <w:rsid w:val="00EB1423"/>
    <w:rsid w:val="00EB319F"/>
    <w:rsid w:val="00EC236E"/>
    <w:rsid w:val="00ED0401"/>
    <w:rsid w:val="00ED76B6"/>
    <w:rsid w:val="00EF1A40"/>
    <w:rsid w:val="00F07F6C"/>
    <w:rsid w:val="00F12648"/>
    <w:rsid w:val="00F31842"/>
    <w:rsid w:val="00F330C4"/>
    <w:rsid w:val="00F4456C"/>
    <w:rsid w:val="00FB084D"/>
    <w:rsid w:val="00FE1A0C"/>
    <w:rsid w:val="00FE3483"/>
    <w:rsid w:val="00FF0891"/>
    <w:rsid w:val="40217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2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styleId="9">
    <w:name w:val="Light Shading Accent 1"/>
    <w:basedOn w:val="7"/>
    <w:uiPriority w:val="60"/>
    <w:rPr>
      <w:color w:val="2F5597" w:themeColor="accent1" w:themeShade="BF"/>
    </w:rPr>
    <w:tblPr>
      <w:tblBorders>
        <w:top w:val="single" w:color="4472C4" w:themeColor="accent1" w:sz="8" w:space="0"/>
        <w:bottom w:val="single" w:color="4472C4" w:themeColor="accent1" w:sz="8" w:space="0"/>
      </w:tblBorders>
      <w:tblLayout w:type="fixed"/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4472C4" w:themeColor="accent1" w:sz="8" w:space="0"/>
          <w:left w:val="nil"/>
          <w:bottom w:val="single" w:color="4472C4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4472C4" w:themeColor="accent1" w:sz="8" w:space="0"/>
          <w:left w:val="nil"/>
          <w:bottom w:val="single" w:color="4472C4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0DCF0" w:themeFill="accent1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0DCF0" w:themeFill="accent1" w:themeFillTint="3F"/>
      </w:tcPr>
    </w:tblStyle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FollowedHyperlink"/>
    <w:basedOn w:val="10"/>
    <w:semiHidden/>
    <w:unhideWhenUsed/>
    <w:uiPriority w:val="99"/>
    <w:rPr>
      <w:color w:val="954F72"/>
      <w:u w:val="single"/>
    </w:rPr>
  </w:style>
  <w:style w:type="character" w:styleId="13">
    <w:name w:val="Hyperlink"/>
    <w:basedOn w:val="10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4">
    <w:name w:val="标题 2 字符"/>
    <w:basedOn w:val="10"/>
    <w:link w:val="2"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5">
    <w:name w:val="未处理的提及1"/>
    <w:basedOn w:val="10"/>
    <w:semiHidden/>
    <w:unhideWhenUsed/>
    <w:uiPriority w:val="99"/>
    <w:rPr>
      <w:color w:val="808080"/>
      <w:shd w:val="clear" w:color="auto" w:fill="E6E6E6"/>
    </w:rPr>
  </w:style>
  <w:style w:type="character" w:customStyle="1" w:styleId="16">
    <w:name w:val="页眉 字符"/>
    <w:basedOn w:val="10"/>
    <w:link w:val="5"/>
    <w:uiPriority w:val="99"/>
    <w:rPr>
      <w:sz w:val="18"/>
      <w:szCs w:val="18"/>
    </w:rPr>
  </w:style>
  <w:style w:type="character" w:customStyle="1" w:styleId="17">
    <w:name w:val="页脚 字符"/>
    <w:basedOn w:val="10"/>
    <w:link w:val="4"/>
    <w:uiPriority w:val="99"/>
    <w:rPr>
      <w:sz w:val="18"/>
      <w:szCs w:val="18"/>
    </w:rPr>
  </w:style>
  <w:style w:type="table" w:customStyle="1" w:styleId="18">
    <w:name w:val="浅色底纹 - 着色 11"/>
    <w:basedOn w:val="7"/>
    <w:uiPriority w:val="60"/>
    <w:rPr>
      <w:color w:val="2F5597" w:themeColor="accent1" w:themeShade="BF"/>
    </w:rPr>
    <w:tblPr>
      <w:tblBorders>
        <w:top w:val="single" w:color="4472C4" w:themeColor="accent1" w:sz="8" w:space="0"/>
        <w:bottom w:val="single" w:color="4472C4" w:themeColor="accent1" w:sz="8" w:space="0"/>
      </w:tblBorders>
      <w:tblLayout w:type="fixed"/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472C4" w:themeColor="accent1" w:sz="8" w:space="0"/>
          <w:left w:val="nil"/>
          <w:bottom w:val="single" w:color="4472C4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472C4" w:themeColor="accent1" w:sz="8" w:space="0"/>
          <w:left w:val="nil"/>
          <w:bottom w:val="single" w:color="4472C4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0DCF0" w:themeFill="accen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0DCF0" w:themeFill="accent1" w:themeFillTint="3F"/>
      </w:tcPr>
    </w:tblStylePr>
  </w:style>
  <w:style w:type="paragraph" w:customStyle="1" w:styleId="19">
    <w:name w:val="Default"/>
    <w:uiPriority w:val="0"/>
    <w:pPr>
      <w:widowControl w:val="0"/>
      <w:autoSpaceDE w:val="0"/>
      <w:autoSpaceDN w:val="0"/>
      <w:adjustRightInd w:val="0"/>
    </w:pPr>
    <w:rPr>
      <w:rFonts w:ascii="黑体`." w:eastAsia="黑体`." w:cs="黑体`.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20">
    <w:name w:val="批注框文本 字符"/>
    <w:basedOn w:val="10"/>
    <w:link w:val="3"/>
    <w:semiHidden/>
    <w:uiPriority w:val="99"/>
    <w:rPr>
      <w:sz w:val="18"/>
      <w:szCs w:val="18"/>
    </w:rPr>
  </w:style>
  <w:style w:type="table" w:customStyle="1" w:styleId="21">
    <w:name w:val="清单表 2 - 着色 11"/>
    <w:basedOn w:val="7"/>
    <w:uiPriority w:val="47"/>
    <w:tblPr>
      <w:tblBorders>
        <w:top w:val="single" w:color="8EAADB" w:themeColor="accent1" w:themeTint="99" w:sz="4" w:space="0"/>
        <w:bottom w:val="single" w:color="8EAADB" w:themeColor="accent1" w:themeTint="99" w:sz="4" w:space="0"/>
        <w:insideH w:val="single" w:color="8EAADB" w:themeColor="accent1" w:themeTint="99" w:sz="4" w:space="0"/>
      </w:tblBorders>
      <w:tblLayout w:type="fixed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1" w:themeFillTint="33"/>
      </w:tcPr>
    </w:tblStylePr>
    <w:tblStylePr w:type="band1Horz">
      <w:tcPr>
        <w:shd w:val="clear" w:color="auto" w:fill="D9E2F3" w:themeFill="accent1" w:themeFillTint="33"/>
      </w:tcPr>
    </w:tblStylePr>
  </w:style>
  <w:style w:type="paragraph" w:customStyle="1" w:styleId="22">
    <w:name w:val="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24">
    <w:name w:val="xl63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customStyle="1" w:styleId="25">
    <w:name w:val="Grid Table 4 Accent 1"/>
    <w:basedOn w:val="7"/>
    <w:uiPriority w:val="49"/>
    <w:tblPr>
      <w:tblBorders>
        <w:top w:val="single" w:color="8EAADB" w:themeColor="accent1" w:themeTint="99" w:sz="4" w:space="0"/>
        <w:left w:val="single" w:color="8EAADB" w:themeColor="accent1" w:themeTint="99" w:sz="4" w:space="0"/>
        <w:bottom w:val="single" w:color="8EAADB" w:themeColor="accent1" w:themeTint="99" w:sz="4" w:space="0"/>
        <w:right w:val="single" w:color="8EAADB" w:themeColor="accent1" w:themeTint="99" w:sz="4" w:space="0"/>
        <w:insideH w:val="single" w:color="8EAADB" w:themeColor="accent1" w:themeTint="99" w:sz="4" w:space="0"/>
        <w:insideV w:val="single" w:color="8EAADB" w:themeColor="accent1" w:themeTint="99" w:sz="4" w:space="0"/>
      </w:tblBorders>
      <w:tblLayout w:type="fixed"/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1" w:sz="4" w:space="0"/>
          <w:left w:val="single" w:color="4472C4" w:themeColor="accent1" w:sz="4" w:space="0"/>
          <w:bottom w:val="single" w:color="4472C4" w:themeColor="accent1" w:sz="4" w:space="0"/>
          <w:right w:val="single" w:color="4472C4" w:themeColor="accent1" w:sz="4" w:space="0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cPr>
        <w:tcBorders>
          <w:top w:val="double" w:color="4472C4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1" w:themeFillTint="33"/>
      </w:tcPr>
    </w:tblStylePr>
    <w:tblStylePr w:type="band1Horz">
      <w:tcPr>
        <w:shd w:val="clear" w:color="auto" w:fill="D9E2F3" w:themeFill="accent1" w:themeFillTint="33"/>
      </w:tcPr>
    </w:tblStylePr>
  </w:style>
  <w:style w:type="character" w:customStyle="1" w:styleId="26">
    <w:name w:val="Unresolved Mention"/>
    <w:basedOn w:val="10"/>
    <w:semiHidden/>
    <w:unhideWhenUsed/>
    <w:uiPriority w:val="99"/>
    <w:rPr>
      <w:color w:val="808080"/>
      <w:shd w:val="clear" w:color="auto" w:fill="E6E6E6"/>
    </w:rPr>
  </w:style>
  <w:style w:type="table" w:customStyle="1" w:styleId="27">
    <w:name w:val="清单表 4 - 着色 11"/>
    <w:basedOn w:val="7"/>
    <w:uiPriority w:val="49"/>
    <w:tblPr>
      <w:tblBorders>
        <w:top w:val="single" w:color="8EAADB" w:themeColor="accent1" w:themeTint="99" w:sz="4" w:space="0"/>
        <w:left w:val="single" w:color="8EAADB" w:themeColor="accent1" w:themeTint="99" w:sz="4" w:space="0"/>
        <w:bottom w:val="single" w:color="8EAADB" w:themeColor="accent1" w:themeTint="99" w:sz="4" w:space="0"/>
        <w:right w:val="single" w:color="8EAADB" w:themeColor="accent1" w:themeTint="99" w:sz="4" w:space="0"/>
        <w:insideH w:val="single" w:color="8EAADB" w:themeColor="accent1" w:themeTint="99" w:sz="4" w:space="0"/>
      </w:tblBorders>
      <w:tblLayout w:type="fixed"/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1" w:sz="4" w:space="0"/>
          <w:left w:val="single" w:color="4472C4" w:themeColor="accent1" w:sz="4" w:space="0"/>
          <w:bottom w:val="single" w:color="4472C4" w:themeColor="accent1" w:sz="4" w:space="0"/>
          <w:right w:val="single" w:color="4472C4" w:themeColor="accent1" w:sz="4" w:space="0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cPr>
        <w:tcBorders>
          <w:top w:val="double" w:color="8EAADB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1" w:themeFillTint="33"/>
      </w:tcPr>
    </w:tblStylePr>
    <w:tblStylePr w:type="band1Horz">
      <w:tcPr>
        <w:shd w:val="clear" w:color="auto" w:fill="D9E2F3" w:themeFill="accent1" w:themeFillTint="33"/>
      </w:tcPr>
    </w:tblStylePr>
  </w:style>
  <w:style w:type="paragraph" w:customStyle="1" w:styleId="28">
    <w:name w:val="xl6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9">
    <w:name w:val="xl6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b/>
      <w:bCs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"/>
          <c:y val="0.132739410881247"/>
          <c:w val="0.988560020173255"/>
          <c:h val="0.80066291052097"/>
        </c:manualLayout>
      </c:layout>
      <c:ofPieChart>
        <c:ofPieType val="pie"/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列1</c:v>
                </c:pt>
              </c:strCache>
            </c:strRef>
          </c:tx>
          <c:explosion val="0"/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dPt>
            <c:idx val="4"/>
            <c:bubble3D val="0"/>
          </c:dPt>
          <c:dPt>
            <c:idx val="5"/>
            <c:bubble3D val="0"/>
          </c:dPt>
          <c:dPt>
            <c:idx val="6"/>
            <c:bubble3D val="0"/>
          </c:dPt>
          <c:dPt>
            <c:idx val="7"/>
            <c:bubble3D val="0"/>
          </c:dPt>
          <c:dPt>
            <c:idx val="8"/>
            <c:bubble3D val="0"/>
          </c:dPt>
          <c:dPt>
            <c:idx val="9"/>
            <c:bubble3D val="0"/>
          </c:dPt>
          <c:dPt>
            <c:idx val="10"/>
            <c:bubble3D val="0"/>
          </c:dPt>
          <c:dPt>
            <c:idx val="11"/>
            <c:bubble3D val="0"/>
          </c:dPt>
          <c:dLbls>
            <c:dLbl>
              <c:idx val="0"/>
              <c:layout>
                <c:manualLayout>
                  <c:x val="0.00569183457172597"/>
                  <c:y val="-0.223373759647189"/>
                </c:manualLayout>
              </c:layout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0.0200216710811462"/>
                  <c:y val="0.196939638333521"/>
                </c:manualLayout>
              </c:layout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0.00225621929693175"/>
                  <c:y val="0.173592617350615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lang="zh-CN" sz="1000" b="0" i="0" u="none" strike="noStrike" kern="1200" baseline="0">
                      <a:solidFill>
                        <a:schemeClr val="tx1"/>
                      </a:solidFill>
                      <a:latin typeface="微软雅黑 Light" panose="020B0502040204020203" pitchFamily="2" charset="-122"/>
                      <a:ea typeface="微软雅黑 Light" panose="020B0502040204020203" pitchFamily="2" charset="-122"/>
                      <a:cs typeface="+mn-cs"/>
                    </a:defRPr>
                  </a:pPr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01480762412524"/>
                      <c:h val="0.240793825799338"/>
                    </c:manualLayout>
                  </c15:layout>
                </c:ext>
              </c:extLst>
            </c:dLbl>
            <c:dLbl>
              <c:idx val="3"/>
              <c:layout>
                <c:manualLayout>
                  <c:x val="-0.0744287878414428"/>
                  <c:y val="0.159165024438097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lang="zh-CN" sz="1000" b="0" i="0" u="none" strike="noStrike" kern="1200" baseline="0">
                      <a:solidFill>
                        <a:schemeClr val="tx1"/>
                      </a:solidFill>
                      <a:latin typeface="微软雅黑 Light" panose="020B0502040204020203" pitchFamily="2" charset="-122"/>
                      <a:ea typeface="微软雅黑 Light" panose="020B0502040204020203" pitchFamily="2" charset="-122"/>
                      <a:cs typeface="+mn-cs"/>
                    </a:defRPr>
                  </a:pPr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0877318549724988"/>
                      <c:h val="0.205512679162073"/>
                    </c:manualLayout>
                  </c15:layout>
                </c:ext>
              </c:extLst>
            </c:dLbl>
            <c:dLbl>
              <c:idx val="4"/>
              <c:layout>
                <c:manualLayout>
                  <c:x val="-0.0778418409232677"/>
                  <c:y val="0.117136879389525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lang="zh-CN" sz="1000" b="0" i="0" u="none" strike="noStrike" kern="1200" baseline="0">
                      <a:solidFill>
                        <a:schemeClr val="tx1"/>
                      </a:solidFill>
                      <a:latin typeface="微软雅黑 Light" panose="020B0502040204020203" pitchFamily="2" charset="-122"/>
                      <a:ea typeface="微软雅黑 Light" panose="020B0502040204020203" pitchFamily="2" charset="-122"/>
                      <a:cs typeface="+mn-cs"/>
                    </a:defRPr>
                  </a:pPr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0906583041194"/>
                      <c:h val="0.183461962513782"/>
                    </c:manualLayout>
                  </c15:layout>
                </c:ext>
              </c:extLst>
            </c:dLbl>
            <c:dLbl>
              <c:idx val="5"/>
              <c:layout>
                <c:manualLayout>
                  <c:x val="0.0618776674105238"/>
                  <c:y val="-0.250712133971126"/>
                </c:manualLayout>
              </c:layout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6"/>
              <c:layout>
                <c:manualLayout>
                  <c:x val="0.0578327781264278"/>
                  <c:y val="-0.212732118518261"/>
                </c:manualLayout>
              </c:layout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7"/>
              <c:layout>
                <c:manualLayout>
                  <c:x val="-0.0409341695880599"/>
                  <c:y val="-0.196651937250953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lang="zh-CN" sz="1000" b="0" i="0" u="none" strike="noStrike" kern="1200" baseline="0">
                      <a:solidFill>
                        <a:schemeClr val="tx1"/>
                      </a:solidFill>
                      <a:latin typeface="微软雅黑 Light" panose="020B0502040204020203" pitchFamily="2" charset="-122"/>
                      <a:ea typeface="微软雅黑 Light" panose="020B0502040204020203" pitchFamily="2" charset="-122"/>
                      <a:cs typeface="+mn-cs"/>
                    </a:defRPr>
                  </a:pPr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25848689212428"/>
                      <c:h val="0.164057331863286"/>
                    </c:manualLayout>
                  </c15:layout>
                </c:ext>
              </c:extLst>
            </c:dLbl>
            <c:dLbl>
              <c:idx val="8"/>
              <c:layout>
                <c:manualLayout>
                  <c:x val="0.135727042968654"/>
                  <c:y val="-0.177121600152792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lang="zh-CN" sz="1000" b="0" i="0" u="none" strike="noStrike" kern="1200" baseline="0">
                      <a:solidFill>
                        <a:schemeClr val="tx1"/>
                      </a:solidFill>
                      <a:latin typeface="微软雅黑 Light" panose="020B0502040204020203" pitchFamily="2" charset="-122"/>
                      <a:ea typeface="微软雅黑 Light" panose="020B0502040204020203" pitchFamily="2" charset="-122"/>
                      <a:cs typeface="+mn-cs"/>
                    </a:defRPr>
                  </a:pPr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56513363833373"/>
                      <c:h val="0.216979051819184"/>
                    </c:manualLayout>
                  </c15:layout>
                </c:ext>
              </c:extLst>
            </c:dLbl>
            <c:dLbl>
              <c:idx val="9"/>
              <c:layout>
                <c:manualLayout>
                  <c:x val="0.114375150493619"/>
                  <c:y val="0.180181788191581"/>
                </c:manualLayout>
              </c:layout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31362965013433"/>
                      <c:h val="0.159647188533627"/>
                    </c:manualLayout>
                  </c15:layout>
                </c:ext>
              </c:extLst>
            </c:dLbl>
            <c:dLbl>
              <c:idx val="10"/>
              <c:layout>
                <c:manualLayout>
                  <c:x val="-0.0457500601974476"/>
                  <c:y val="0.157716101363845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lang="zh-CN" sz="1000" b="0" i="0" u="none" strike="noStrike" kern="1200" baseline="0">
                      <a:solidFill>
                        <a:schemeClr val="tx1"/>
                      </a:solidFill>
                      <a:latin typeface="微软雅黑 Light" panose="020B0502040204020203" pitchFamily="2" charset="-122"/>
                      <a:ea typeface="微软雅黑 Light" panose="020B0502040204020203" pitchFamily="2" charset="-122"/>
                      <a:cs typeface="+mn-cs"/>
                    </a:defRPr>
                  </a:pPr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12870309102044"/>
                      <c:h val="0.170231532524807"/>
                    </c:manualLayout>
                  </c15:layout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微软雅黑 Light" panose="020B0502040204020203" pitchFamily="2" charset="-122"/>
                    <a:ea typeface="微软雅黑 Light" panose="020B0502040204020203" pitchFamily="2" charset="-122"/>
                    <a:cs typeface="+mn-cs"/>
                  </a:defRPr>
                </a:pPr>
              </a:p>
            </c:txPr>
            <c:dLblPos val="bestFit"/>
            <c:showLegendKey val="0"/>
            <c:showVal val="1"/>
            <c:showCatName val="1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strRef>
              <c:f>Sheet1!$A$2:$A$12</c:f>
              <c:strCache>
                <c:ptCount val="11"/>
                <c:pt idx="0">
                  <c:v>工程学</c:v>
                </c:pt>
                <c:pt idx="1">
                  <c:v>计算机科学</c:v>
                </c:pt>
                <c:pt idx="2">
                  <c:v>材料科学</c:v>
                </c:pt>
                <c:pt idx="3">
                  <c:v>数学</c:v>
                </c:pt>
                <c:pt idx="4">
                  <c:v>化学</c:v>
                </c:pt>
                <c:pt idx="5">
                  <c:v>物理学</c:v>
                </c:pt>
                <c:pt idx="6">
                  <c:v>地球科学</c:v>
                </c:pt>
                <c:pt idx="7">
                  <c:v>临床医学</c:v>
                </c:pt>
                <c:pt idx="8">
                  <c:v>神经科学与行为学</c:v>
                </c:pt>
                <c:pt idx="9">
                  <c:v>环境/生态学</c:v>
                </c:pt>
                <c:pt idx="10">
                  <c:v>农业科学</c:v>
                </c:pt>
              </c:strCache>
            </c:strRef>
          </c:cat>
          <c:val>
            <c:numRef>
              <c:f>Sheet1!$B$2:$B$12</c:f>
              <c:numCache>
                <c:formatCode>General</c:formatCode>
                <c:ptCount val="11"/>
                <c:pt idx="0">
                  <c:v>73</c:v>
                </c:pt>
                <c:pt idx="1">
                  <c:v>33</c:v>
                </c:pt>
                <c:pt idx="2">
                  <c:v>13</c:v>
                </c:pt>
                <c:pt idx="3">
                  <c:v>11</c:v>
                </c:pt>
                <c:pt idx="4">
                  <c:v>10</c:v>
                </c:pt>
                <c:pt idx="5">
                  <c:v>6</c:v>
                </c:pt>
                <c:pt idx="6">
                  <c:v>2</c:v>
                </c:pt>
                <c:pt idx="7">
                  <c:v>1</c:v>
                </c:pt>
                <c:pt idx="8">
                  <c:v>1</c:v>
                </c:pt>
                <c:pt idx="9">
                  <c:v>1</c:v>
                </c:pt>
                <c:pt idx="10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gapWidth val="100"/>
        <c:secondPieSize val="75"/>
        <c:serLines/>
      </c:ofPieChart>
    </c:plotArea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215958106368416"/>
          <c:y val="0.134743747920594"/>
          <c:w val="0.959665330642334"/>
          <c:h val="0.778612255511405"/>
        </c:manualLayout>
      </c:layout>
      <c:ofPieChart>
        <c:ofPieType val="pie"/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高被引论文数</c:v>
                </c:pt>
              </c:strCache>
            </c:strRef>
          </c:tx>
          <c:explosion val="0"/>
          <c:dPt>
            <c:idx val="0"/>
            <c:bubble3D val="0"/>
          </c:dPt>
          <c:dPt>
            <c:idx val="1"/>
            <c:bubble3D val="0"/>
          </c:dPt>
          <c:dPt>
            <c:idx val="2"/>
            <c:bubble3D val="0"/>
          </c:dPt>
          <c:dPt>
            <c:idx val="3"/>
            <c:bubble3D val="0"/>
          </c:dPt>
          <c:dPt>
            <c:idx val="4"/>
            <c:bubble3D val="0"/>
          </c:dPt>
          <c:dPt>
            <c:idx val="5"/>
            <c:bubble3D val="0"/>
          </c:dPt>
          <c:dPt>
            <c:idx val="6"/>
            <c:bubble3D val="0"/>
          </c:dPt>
          <c:dPt>
            <c:idx val="7"/>
            <c:bubble3D val="0"/>
          </c:dPt>
          <c:dPt>
            <c:idx val="8"/>
            <c:bubble3D val="0"/>
          </c:dPt>
          <c:dPt>
            <c:idx val="9"/>
            <c:bubble3D val="0"/>
          </c:dPt>
          <c:dPt>
            <c:idx val="10"/>
            <c:bubble3D val="0"/>
          </c:dPt>
          <c:dPt>
            <c:idx val="11"/>
            <c:bubble3D val="0"/>
          </c:dPt>
          <c:dLbls>
            <c:dLbl>
              <c:idx val="0"/>
              <c:layout>
                <c:manualLayout>
                  <c:x val="0.0832351530342358"/>
                  <c:y val="-0.261223591549296"/>
                </c:manualLayout>
              </c:layout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0.0257065853163731"/>
                  <c:y val="0.194208508927581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lang="zh-CN" sz="1000" b="0" i="0" u="none" strike="noStrike" kern="1200" baseline="0">
                      <a:solidFill>
                        <a:schemeClr val="tx1"/>
                      </a:solidFill>
                      <a:latin typeface="微软雅黑 Light" panose="020B0502040204020203" pitchFamily="2" charset="-122"/>
                      <a:ea typeface="微软雅黑 Light" panose="020B0502040204020203" pitchFamily="2" charset="-122"/>
                      <a:cs typeface="+mn-cs"/>
                    </a:defRPr>
                  </a:pPr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0906583041194"/>
                      <c:h val="0.191901408450704"/>
                    </c:manualLayout>
                  </c15:layout>
                </c:ext>
              </c:extLst>
            </c:dLbl>
            <c:dLbl>
              <c:idx val="3"/>
              <c:layout>
                <c:manualLayout>
                  <c:x val="-0.075066122393261"/>
                  <c:y val="0.160251816014195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lang="zh-CN" sz="1000" b="0" i="0" u="none" strike="noStrike" kern="1200" baseline="0">
                      <a:solidFill>
                        <a:schemeClr val="tx1"/>
                      </a:solidFill>
                      <a:latin typeface="微软雅黑 Light" panose="020B0502040204020203" pitchFamily="2" charset="-122"/>
                      <a:ea typeface="微软雅黑 Light" panose="020B0502040204020203" pitchFamily="2" charset="-122"/>
                      <a:cs typeface="+mn-cs"/>
                    </a:defRPr>
                  </a:pPr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0753552597401366"/>
                      <c:h val="0.240316901408451"/>
                    </c:manualLayout>
                  </c15:layout>
                </c:ext>
              </c:extLst>
            </c:dLbl>
            <c:dLbl>
              <c:idx val="5"/>
              <c:layout>
                <c:manualLayout>
                  <c:x val="-0.00469141935153612"/>
                  <c:y val="-0.150498364200954"/>
                </c:manualLayout>
              </c:layout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6"/>
              <c:layout>
                <c:manualLayout>
                  <c:x val="0.00464193420561173"/>
                  <c:y val="-0.111402073860486"/>
                </c:manualLayout>
              </c:layout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7"/>
              <c:layout>
                <c:manualLayout>
                  <c:x val="-0.0253335507393384"/>
                  <c:y val="-0.198677151491627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lang="zh-CN" sz="1000" b="0" i="0" u="none" strike="noStrike" kern="1200" baseline="0">
                      <a:solidFill>
                        <a:schemeClr val="tx1"/>
                      </a:solidFill>
                      <a:latin typeface="微软雅黑 Light" panose="020B0502040204020203" pitchFamily="2" charset="-122"/>
                      <a:ea typeface="微软雅黑 Light" panose="020B0502040204020203" pitchFamily="2" charset="-122"/>
                      <a:cs typeface="+mn-cs"/>
                    </a:defRPr>
                  </a:pPr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56513363833373"/>
                      <c:h val="0.203345070422535"/>
                    </c:manualLayout>
                  </c15:layout>
                </c:ext>
              </c:extLst>
            </c:dLbl>
            <c:dLbl>
              <c:idx val="8"/>
              <c:layout>
                <c:manualLayout>
                  <c:x val="0.127645132728262"/>
                  <c:y val="-0.151265318287679"/>
                </c:manualLayout>
              </c:layout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48218250349335"/>
                      <c:h val="0.159330985915493"/>
                    </c:manualLayout>
                  </c15:layout>
                </c:ext>
              </c:extLst>
            </c:dLbl>
            <c:dLbl>
              <c:idx val="9"/>
              <c:layout>
                <c:manualLayout>
                  <c:x val="0.0993559347099431"/>
                  <c:y val="0.185121506598647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lang="zh-CN" sz="1000" b="0" i="0" u="none" strike="noStrike" kern="1200" baseline="0">
                      <a:solidFill>
                        <a:schemeClr val="tx1"/>
                      </a:solidFill>
                      <a:latin typeface="微软雅黑 Light" panose="020B0502040204020203" pitchFamily="2" charset="-122"/>
                      <a:ea typeface="微软雅黑 Light" panose="020B0502040204020203" pitchFamily="2" charset="-122"/>
                      <a:cs typeface="+mn-cs"/>
                    </a:defRPr>
                  </a:pPr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2009400281743"/>
                      <c:h val="0.1875"/>
                    </c:manualLayout>
                  </c15:layout>
                </c:ext>
              </c:extLst>
            </c:dLbl>
            <c:dLbl>
              <c:idx val="10"/>
              <c:layout>
                <c:manualLayout>
                  <c:x val="-0.0342823990247065"/>
                  <c:y val="0.162835823999113"/>
                </c:manualLayout>
              </c:layout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lang="zh-CN" sz="1000" b="0" i="0" u="none" strike="noStrike" kern="1200" baseline="0">
                      <a:solidFill>
                        <a:schemeClr val="tx1"/>
                      </a:solidFill>
                      <a:latin typeface="微软雅黑 Light" panose="020B0502040204020203" pitchFamily="2" charset="-122"/>
                      <a:ea typeface="微软雅黑 Light" panose="020B0502040204020203" pitchFamily="2" charset="-122"/>
                      <a:cs typeface="+mn-cs"/>
                    </a:defRPr>
                  </a:pPr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27317696532817"/>
                      <c:h val="0.161091549295775"/>
                    </c:manualLayout>
                  </c15:layout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微软雅黑 Light" panose="020B0502040204020203" pitchFamily="2" charset="-122"/>
                    <a:ea typeface="微软雅黑 Light" panose="020B0502040204020203" pitchFamily="2" charset="-122"/>
                    <a:cs typeface="+mn-cs"/>
                  </a:defRPr>
                </a:pPr>
              </a:p>
            </c:txPr>
            <c:dLblPos val="bestFit"/>
            <c:showLegendKey val="0"/>
            <c:showVal val="1"/>
            <c:showCatName val="1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strRef>
              <c:f>Sheet1!$A$2:$A$12</c:f>
              <c:strCache>
                <c:ptCount val="11"/>
                <c:pt idx="0">
                  <c:v>工程学</c:v>
                </c:pt>
                <c:pt idx="1">
                  <c:v>计算机科学</c:v>
                </c:pt>
                <c:pt idx="2">
                  <c:v>化学</c:v>
                </c:pt>
                <c:pt idx="3">
                  <c:v>材料科学</c:v>
                </c:pt>
                <c:pt idx="4">
                  <c:v>数学</c:v>
                </c:pt>
                <c:pt idx="5">
                  <c:v>物理学</c:v>
                </c:pt>
                <c:pt idx="6">
                  <c:v>临床医学</c:v>
                </c:pt>
                <c:pt idx="7">
                  <c:v>神经科学与行为学</c:v>
                </c:pt>
                <c:pt idx="8">
                  <c:v>环境/生态学</c:v>
                </c:pt>
                <c:pt idx="9">
                  <c:v>地球科学</c:v>
                </c:pt>
                <c:pt idx="10">
                  <c:v>农业科学</c:v>
                </c:pt>
              </c:strCache>
            </c:strRef>
          </c:cat>
          <c:val>
            <c:numRef>
              <c:f>Sheet1!$B$2:$B$12</c:f>
              <c:numCache>
                <c:formatCode>General</c:formatCode>
                <c:ptCount val="11"/>
                <c:pt idx="0">
                  <c:v>58</c:v>
                </c:pt>
                <c:pt idx="1">
                  <c:v>19</c:v>
                </c:pt>
                <c:pt idx="2">
                  <c:v>9</c:v>
                </c:pt>
                <c:pt idx="3">
                  <c:v>8</c:v>
                </c:pt>
                <c:pt idx="4">
                  <c:v>8</c:v>
                </c:pt>
                <c:pt idx="5">
                  <c:v>3</c:v>
                </c:pt>
                <c:pt idx="6">
                  <c:v>1</c:v>
                </c:pt>
                <c:pt idx="7">
                  <c:v>1</c:v>
                </c:pt>
                <c:pt idx="8">
                  <c:v>1</c:v>
                </c:pt>
                <c:pt idx="9">
                  <c:v>1</c:v>
                </c:pt>
                <c:pt idx="10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gapWidth val="100"/>
        <c:secondPieSize val="75"/>
        <c:serLines/>
      </c:ofPieChart>
    </c:plotArea>
    <c:plotVisOnly val="1"/>
    <c:dispBlanksAs val="gap"/>
    <c:showDLblsOverMax val="0"/>
  </c:chart>
  <c:txPr>
    <a:bodyPr/>
    <a:lstStyle/>
    <a:p>
      <a:pPr>
        <a:defRPr lang="zh-CN"/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7EA39F1-81ED-42B2-B02F-B82BC10419D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25</Pages>
  <Words>5111</Words>
  <Characters>29139</Characters>
  <Lines>242</Lines>
  <Paragraphs>68</Paragraphs>
  <TotalTime>379</TotalTime>
  <ScaleCrop>false</ScaleCrop>
  <LinksUpToDate>false</LinksUpToDate>
  <CharactersWithSpaces>34182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2018-05-30T02:53:00Z</dcterms:created>
  <dc:creator>zhang haiqian</dc:creator>
  <cp:lastModifiedBy>wenwen2009</cp:lastModifiedBy>
  <dcterms:modified xsi:type="dcterms:W3CDTF">2019-03-28T01:44:47Z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